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78E63" w14:textId="1ACEF042" w:rsidR="00973AC7" w:rsidRPr="00990C79" w:rsidRDefault="00B07888">
      <w:pPr>
        <w:rPr>
          <w:rFonts w:asciiTheme="majorHAnsi" w:hAnsiTheme="majorHAnsi" w:cstheme="majorHAnsi"/>
        </w:rPr>
      </w:pPr>
      <w:r w:rsidRPr="00990C79">
        <w:rPr>
          <w:rFonts w:asciiTheme="majorHAnsi" w:hAnsiTheme="majorHAnsi" w:cstheme="majorHAnsi"/>
        </w:rPr>
        <w:t xml:space="preserve">Over </w:t>
      </w:r>
      <w:r w:rsidR="00990C79" w:rsidRPr="00990C79">
        <w:rPr>
          <w:rFonts w:asciiTheme="majorHAnsi" w:hAnsiTheme="majorHAnsi" w:cstheme="majorHAnsi"/>
        </w:rPr>
        <w:t>30</w:t>
      </w:r>
      <w:r w:rsidRPr="00990C79">
        <w:rPr>
          <w:rFonts w:asciiTheme="majorHAnsi" w:hAnsiTheme="majorHAnsi" w:cstheme="majorHAnsi"/>
        </w:rPr>
        <w:t xml:space="preserve"> attendees participated in UPSOM’s </w:t>
      </w:r>
      <w:r w:rsidR="00990C79" w:rsidRPr="00990C79">
        <w:rPr>
          <w:rFonts w:asciiTheme="majorHAnsi" w:hAnsiTheme="majorHAnsi" w:cstheme="majorHAnsi"/>
        </w:rPr>
        <w:t>second</w:t>
      </w:r>
      <w:r w:rsidRPr="00990C79">
        <w:rPr>
          <w:rFonts w:asciiTheme="majorHAnsi" w:hAnsiTheme="majorHAnsi" w:cstheme="majorHAnsi"/>
        </w:rPr>
        <w:t xml:space="preserve"> Curriculum Reform Town Hall, focused on concerns of </w:t>
      </w:r>
      <w:r w:rsidR="00990C79" w:rsidRPr="00990C79">
        <w:rPr>
          <w:rFonts w:asciiTheme="majorHAnsi" w:hAnsiTheme="majorHAnsi" w:cstheme="majorHAnsi"/>
        </w:rPr>
        <w:t>students: medical and graduate</w:t>
      </w:r>
      <w:r w:rsidRPr="00990C79">
        <w:rPr>
          <w:rFonts w:asciiTheme="majorHAnsi" w:hAnsiTheme="majorHAnsi" w:cstheme="majorHAnsi"/>
        </w:rPr>
        <w:t xml:space="preserve">.  </w:t>
      </w:r>
    </w:p>
    <w:p w14:paraId="3D3A86D9" w14:textId="0AABF8CF" w:rsidR="00B07888" w:rsidRPr="00990C79" w:rsidRDefault="00B07888">
      <w:pPr>
        <w:rPr>
          <w:rFonts w:asciiTheme="majorHAnsi" w:hAnsiTheme="majorHAnsi" w:cstheme="majorHAnsi"/>
        </w:rPr>
      </w:pPr>
      <w:proofErr w:type="gramStart"/>
      <w:r w:rsidRPr="00990C79">
        <w:rPr>
          <w:rFonts w:asciiTheme="majorHAnsi" w:hAnsiTheme="majorHAnsi" w:cstheme="majorHAnsi"/>
        </w:rPr>
        <w:t>The CR Task Force was represented by steering committee leaders Peter Drain and Mike Elnicki</w:t>
      </w:r>
      <w:proofErr w:type="gramEnd"/>
      <w:r w:rsidRPr="00990C79">
        <w:rPr>
          <w:rFonts w:asciiTheme="majorHAnsi" w:hAnsiTheme="majorHAnsi" w:cstheme="majorHAnsi"/>
        </w:rPr>
        <w:t xml:space="preserve">, subcommittee chairs Lisa Borghesi, John Maier, and Greg Null, and medical student representative </w:t>
      </w:r>
      <w:r w:rsidR="00990C79" w:rsidRPr="00990C79">
        <w:rPr>
          <w:rFonts w:asciiTheme="majorHAnsi" w:hAnsiTheme="majorHAnsi" w:cstheme="majorHAnsi"/>
        </w:rPr>
        <w:t>Jonathan Perkins</w:t>
      </w:r>
      <w:r w:rsidRPr="00990C79">
        <w:rPr>
          <w:rFonts w:asciiTheme="majorHAnsi" w:hAnsiTheme="majorHAnsi" w:cstheme="majorHAnsi"/>
        </w:rPr>
        <w:t>.  Jason Rosenstock moderated.</w:t>
      </w:r>
    </w:p>
    <w:p w14:paraId="28EF7F64" w14:textId="19DA05E1" w:rsidR="00B07888" w:rsidRPr="00990C79" w:rsidRDefault="00B07888">
      <w:pPr>
        <w:rPr>
          <w:rFonts w:asciiTheme="majorHAnsi" w:hAnsiTheme="majorHAnsi" w:cstheme="majorHAnsi"/>
        </w:rPr>
      </w:pPr>
      <w:r w:rsidRPr="00990C79">
        <w:rPr>
          <w:rFonts w:asciiTheme="majorHAnsi" w:hAnsiTheme="majorHAnsi" w:cstheme="majorHAnsi"/>
        </w:rPr>
        <w:t xml:space="preserve">The Task Force presented a status update, followed by questions and discussion by the audience.  The most common questions/concerns raised by participants </w:t>
      </w:r>
      <w:proofErr w:type="gramStart"/>
      <w:r w:rsidRPr="00990C79">
        <w:rPr>
          <w:rFonts w:asciiTheme="majorHAnsi" w:hAnsiTheme="majorHAnsi" w:cstheme="majorHAnsi"/>
        </w:rPr>
        <w:t>are outlined</w:t>
      </w:r>
      <w:proofErr w:type="gramEnd"/>
      <w:r w:rsidRPr="00990C79">
        <w:rPr>
          <w:rFonts w:asciiTheme="majorHAnsi" w:hAnsiTheme="majorHAnsi" w:cstheme="majorHAnsi"/>
        </w:rPr>
        <w:t xml:space="preserve"> below:</w:t>
      </w:r>
    </w:p>
    <w:tbl>
      <w:tblPr>
        <w:tblStyle w:val="TableGrid"/>
        <w:tblW w:w="0" w:type="auto"/>
        <w:tblLook w:val="04A0" w:firstRow="1" w:lastRow="0" w:firstColumn="1" w:lastColumn="0" w:noHBand="0" w:noVBand="1"/>
      </w:tblPr>
      <w:tblGrid>
        <w:gridCol w:w="2875"/>
        <w:gridCol w:w="6475"/>
      </w:tblGrid>
      <w:tr w:rsidR="00B07888" w:rsidRPr="00990C79" w14:paraId="20B59D24" w14:textId="77777777" w:rsidTr="00256D10">
        <w:trPr>
          <w:trHeight w:val="512"/>
        </w:trPr>
        <w:tc>
          <w:tcPr>
            <w:tcW w:w="2875" w:type="dxa"/>
            <w:shd w:val="clear" w:color="auto" w:fill="D9D9D9" w:themeFill="background1" w:themeFillShade="D9"/>
            <w:vAlign w:val="center"/>
          </w:tcPr>
          <w:p w14:paraId="3C1D4E4E" w14:textId="696C4BC9" w:rsidR="00B07888" w:rsidRPr="00990C79" w:rsidRDefault="00B07888" w:rsidP="00256D10">
            <w:pPr>
              <w:jc w:val="center"/>
              <w:rPr>
                <w:rFonts w:asciiTheme="majorHAnsi" w:hAnsiTheme="majorHAnsi" w:cstheme="majorHAnsi"/>
                <w:b/>
              </w:rPr>
            </w:pPr>
            <w:r w:rsidRPr="00990C79">
              <w:rPr>
                <w:rFonts w:asciiTheme="majorHAnsi" w:hAnsiTheme="majorHAnsi" w:cstheme="majorHAnsi"/>
                <w:b/>
              </w:rPr>
              <w:t>Domain</w:t>
            </w:r>
          </w:p>
        </w:tc>
        <w:tc>
          <w:tcPr>
            <w:tcW w:w="6475" w:type="dxa"/>
            <w:shd w:val="clear" w:color="auto" w:fill="D9D9D9" w:themeFill="background1" w:themeFillShade="D9"/>
            <w:vAlign w:val="center"/>
          </w:tcPr>
          <w:p w14:paraId="4B51EB1D" w14:textId="38268F20" w:rsidR="00B07888" w:rsidRPr="00990C79" w:rsidRDefault="00B07888" w:rsidP="00256D10">
            <w:pPr>
              <w:jc w:val="center"/>
              <w:rPr>
                <w:rFonts w:asciiTheme="majorHAnsi" w:hAnsiTheme="majorHAnsi" w:cstheme="majorHAnsi"/>
                <w:b/>
              </w:rPr>
            </w:pPr>
            <w:r w:rsidRPr="00990C79">
              <w:rPr>
                <w:rFonts w:asciiTheme="majorHAnsi" w:hAnsiTheme="majorHAnsi" w:cstheme="majorHAnsi"/>
                <w:b/>
              </w:rPr>
              <w:t>Comments</w:t>
            </w:r>
          </w:p>
        </w:tc>
      </w:tr>
      <w:tr w:rsidR="00B07888" w:rsidRPr="00990C79" w14:paraId="2B394276" w14:textId="77777777" w:rsidTr="00256D10">
        <w:tc>
          <w:tcPr>
            <w:tcW w:w="2875" w:type="dxa"/>
            <w:vAlign w:val="center"/>
          </w:tcPr>
          <w:p w14:paraId="725A2D3D" w14:textId="412C9B95" w:rsidR="00B07888" w:rsidRPr="00C876A2" w:rsidRDefault="00F8561C" w:rsidP="00256D10">
            <w:pPr>
              <w:rPr>
                <w:rFonts w:asciiTheme="majorHAnsi" w:hAnsiTheme="majorHAnsi" w:cstheme="majorHAnsi"/>
                <w:b/>
                <w:highlight w:val="yellow"/>
              </w:rPr>
            </w:pPr>
            <w:r w:rsidRPr="00C876A2">
              <w:rPr>
                <w:rFonts w:asciiTheme="majorHAnsi" w:hAnsiTheme="majorHAnsi" w:cstheme="majorHAnsi"/>
                <w:b/>
                <w:highlight w:val="yellow"/>
              </w:rPr>
              <w:t>Dual Degree Programs</w:t>
            </w:r>
          </w:p>
        </w:tc>
        <w:tc>
          <w:tcPr>
            <w:tcW w:w="6475" w:type="dxa"/>
          </w:tcPr>
          <w:p w14:paraId="3AACA129" w14:textId="77777777" w:rsidR="00F8561C" w:rsidRDefault="00C66EB5" w:rsidP="00F8561C">
            <w:pPr>
              <w:rPr>
                <w:rFonts w:asciiTheme="majorHAnsi" w:hAnsiTheme="majorHAnsi" w:cstheme="majorHAnsi"/>
              </w:rPr>
            </w:pPr>
            <w:r w:rsidRPr="00990C79">
              <w:rPr>
                <w:rFonts w:asciiTheme="majorHAnsi" w:hAnsiTheme="majorHAnsi" w:cstheme="majorHAnsi"/>
              </w:rPr>
              <w:t xml:space="preserve">(1) </w:t>
            </w:r>
            <w:r w:rsidR="00F8561C" w:rsidRPr="00F8561C">
              <w:rPr>
                <w:rFonts w:asciiTheme="majorHAnsi" w:hAnsiTheme="majorHAnsi" w:cstheme="majorHAnsi"/>
              </w:rPr>
              <w:t xml:space="preserve">Flexibility for MD/PhD and other dual degree students in getting in the required clerkships will benefit from dual degree students being able to get in more clerkships before the take off at the end of their MS2 year to do their graduate work, given clerkships start mid-year MS2. </w:t>
            </w:r>
          </w:p>
          <w:p w14:paraId="08868216" w14:textId="56AF029D" w:rsidR="00C66EB5" w:rsidRPr="00990C79" w:rsidRDefault="00B446DB" w:rsidP="00F8561C">
            <w:pPr>
              <w:rPr>
                <w:rFonts w:asciiTheme="majorHAnsi" w:hAnsiTheme="majorHAnsi" w:cstheme="majorHAnsi"/>
              </w:rPr>
            </w:pPr>
            <w:r>
              <w:rPr>
                <w:rFonts w:asciiTheme="majorHAnsi" w:hAnsiTheme="majorHAnsi" w:cstheme="majorHAnsi"/>
              </w:rPr>
              <w:t>(2</w:t>
            </w:r>
            <w:r w:rsidR="00F8561C">
              <w:rPr>
                <w:rFonts w:asciiTheme="majorHAnsi" w:hAnsiTheme="majorHAnsi" w:cstheme="majorHAnsi"/>
              </w:rPr>
              <w:t xml:space="preserve">) </w:t>
            </w:r>
            <w:r w:rsidR="00F8561C" w:rsidRPr="00F8561C">
              <w:rPr>
                <w:rFonts w:asciiTheme="majorHAnsi" w:hAnsiTheme="majorHAnsi" w:cstheme="majorHAnsi"/>
              </w:rPr>
              <w:t>There</w:t>
            </w:r>
            <w:r w:rsidR="00F8561C">
              <w:rPr>
                <w:rFonts w:asciiTheme="majorHAnsi" w:hAnsiTheme="majorHAnsi" w:cstheme="majorHAnsi"/>
              </w:rPr>
              <w:t xml:space="preserve"> i</w:t>
            </w:r>
            <w:r w:rsidR="00F8561C" w:rsidRPr="00F8561C">
              <w:rPr>
                <w:rFonts w:asciiTheme="majorHAnsi" w:hAnsiTheme="majorHAnsi" w:cstheme="majorHAnsi"/>
              </w:rPr>
              <w:t>s an annual structure to when they can start and stop their graduate work. With mor</w:t>
            </w:r>
            <w:r w:rsidR="00F8561C">
              <w:rPr>
                <w:rFonts w:asciiTheme="majorHAnsi" w:hAnsiTheme="majorHAnsi" w:cstheme="majorHAnsi"/>
              </w:rPr>
              <w:t>e clerkships done before, there i</w:t>
            </w:r>
            <w:r w:rsidR="00F8561C" w:rsidRPr="00F8561C">
              <w:rPr>
                <w:rFonts w:asciiTheme="majorHAnsi" w:hAnsiTheme="majorHAnsi" w:cstheme="majorHAnsi"/>
              </w:rPr>
              <w:t>s built in flexibility to their re-entry in there being less clerkships needed to complete the MD program requirements</w:t>
            </w:r>
            <w:r w:rsidR="00F8561C">
              <w:rPr>
                <w:rFonts w:asciiTheme="majorHAnsi" w:hAnsiTheme="majorHAnsi" w:cstheme="majorHAnsi"/>
              </w:rPr>
              <w:t>.</w:t>
            </w:r>
          </w:p>
        </w:tc>
      </w:tr>
      <w:tr w:rsidR="00B07888" w:rsidRPr="00990C79" w14:paraId="6CDEB346" w14:textId="77777777" w:rsidTr="00256D10">
        <w:tc>
          <w:tcPr>
            <w:tcW w:w="2875" w:type="dxa"/>
            <w:vAlign w:val="center"/>
          </w:tcPr>
          <w:p w14:paraId="4EB772BF" w14:textId="33477F98" w:rsidR="00B07888" w:rsidRPr="00E262D1" w:rsidRDefault="00E262D1" w:rsidP="00256D10">
            <w:pPr>
              <w:rPr>
                <w:rFonts w:asciiTheme="majorHAnsi" w:hAnsiTheme="majorHAnsi" w:cstheme="majorHAnsi"/>
                <w:b/>
                <w:highlight w:val="yellow"/>
              </w:rPr>
            </w:pPr>
            <w:r w:rsidRPr="00E262D1">
              <w:rPr>
                <w:rFonts w:asciiTheme="majorHAnsi" w:hAnsiTheme="majorHAnsi" w:cstheme="majorHAnsi"/>
                <w:b/>
                <w:highlight w:val="yellow"/>
              </w:rPr>
              <w:t>Clerkship &amp; Beyond Design</w:t>
            </w:r>
          </w:p>
        </w:tc>
        <w:tc>
          <w:tcPr>
            <w:tcW w:w="6475" w:type="dxa"/>
          </w:tcPr>
          <w:p w14:paraId="0465C870" w14:textId="77777777" w:rsidR="00C876A2" w:rsidRDefault="00C66EB5" w:rsidP="00C876A2">
            <w:pPr>
              <w:rPr>
                <w:rFonts w:asciiTheme="majorHAnsi" w:hAnsiTheme="majorHAnsi" w:cstheme="majorHAnsi"/>
              </w:rPr>
            </w:pPr>
            <w:r w:rsidRPr="00990C79">
              <w:rPr>
                <w:rFonts w:asciiTheme="majorHAnsi" w:hAnsiTheme="majorHAnsi" w:cstheme="majorHAnsi"/>
              </w:rPr>
              <w:t xml:space="preserve">(1) </w:t>
            </w:r>
            <w:r w:rsidR="00C876A2" w:rsidRPr="00C876A2">
              <w:rPr>
                <w:rFonts w:asciiTheme="majorHAnsi" w:hAnsiTheme="majorHAnsi" w:cstheme="majorHAnsi"/>
              </w:rPr>
              <w:t>Students are meeting/discussing what they think should be the actual specified core clerkships</w:t>
            </w:r>
            <w:r w:rsidR="00C876A2">
              <w:rPr>
                <w:rFonts w:asciiTheme="majorHAnsi" w:hAnsiTheme="majorHAnsi" w:cstheme="majorHAnsi"/>
              </w:rPr>
              <w:t>.</w:t>
            </w:r>
          </w:p>
          <w:p w14:paraId="1B408F21" w14:textId="77777777" w:rsidR="00C66EB5" w:rsidRDefault="00C876A2" w:rsidP="00C876A2">
            <w:pPr>
              <w:rPr>
                <w:rFonts w:asciiTheme="majorHAnsi" w:hAnsiTheme="majorHAnsi" w:cstheme="majorHAnsi"/>
              </w:rPr>
            </w:pPr>
            <w:r>
              <w:rPr>
                <w:rFonts w:asciiTheme="majorHAnsi" w:hAnsiTheme="majorHAnsi" w:cstheme="majorHAnsi"/>
              </w:rPr>
              <w:t xml:space="preserve">(2) </w:t>
            </w:r>
            <w:r w:rsidRPr="00C876A2">
              <w:rPr>
                <w:rFonts w:asciiTheme="majorHAnsi" w:hAnsiTheme="majorHAnsi" w:cstheme="majorHAnsi"/>
              </w:rPr>
              <w:t>Students are meeting/discussing what they think is best for additional clerkships, AIs, electives of Beyond components, etc.</w:t>
            </w:r>
          </w:p>
          <w:p w14:paraId="6EB9E6F8" w14:textId="1B47D791" w:rsidR="00BF29C8" w:rsidRPr="00990C79" w:rsidRDefault="00BF29C8" w:rsidP="00C876A2">
            <w:pPr>
              <w:rPr>
                <w:rFonts w:asciiTheme="majorHAnsi" w:hAnsiTheme="majorHAnsi" w:cstheme="majorHAnsi"/>
              </w:rPr>
            </w:pPr>
            <w:r>
              <w:rPr>
                <w:rFonts w:asciiTheme="majorHAnsi" w:hAnsiTheme="majorHAnsi" w:cstheme="majorHAnsi"/>
              </w:rPr>
              <w:t xml:space="preserve">(3) </w:t>
            </w:r>
            <w:r w:rsidRPr="00BF29C8">
              <w:rPr>
                <w:rFonts w:asciiTheme="majorHAnsi" w:hAnsiTheme="majorHAnsi" w:cstheme="majorHAnsi"/>
              </w:rPr>
              <w:t xml:space="preserve">Will students be ready for clerkships if they have a shortened Foundations phase?  Clerkship directors will need to have clear expectations of what students </w:t>
            </w:r>
            <w:proofErr w:type="gramStart"/>
            <w:r w:rsidRPr="00BF29C8">
              <w:rPr>
                <w:rFonts w:asciiTheme="majorHAnsi" w:hAnsiTheme="majorHAnsi" w:cstheme="majorHAnsi"/>
              </w:rPr>
              <w:t>will be prepared for</w:t>
            </w:r>
            <w:proofErr w:type="gramEnd"/>
            <w:r w:rsidRPr="00BF29C8">
              <w:rPr>
                <w:rFonts w:asciiTheme="majorHAnsi" w:hAnsiTheme="majorHAnsi" w:cstheme="majorHAnsi"/>
              </w:rPr>
              <w:t>.  The two respective subcommittees are meeting to confer on this point.</w:t>
            </w:r>
          </w:p>
        </w:tc>
      </w:tr>
      <w:tr w:rsidR="00B07888" w:rsidRPr="00990C79" w14:paraId="62FF54B0" w14:textId="77777777" w:rsidTr="00256D10">
        <w:tc>
          <w:tcPr>
            <w:tcW w:w="2875" w:type="dxa"/>
            <w:vAlign w:val="center"/>
          </w:tcPr>
          <w:p w14:paraId="1FFD64EA" w14:textId="1E5F60DC" w:rsidR="00B07888" w:rsidRPr="00E262D1" w:rsidRDefault="00E262D1" w:rsidP="00256D10">
            <w:pPr>
              <w:rPr>
                <w:rFonts w:asciiTheme="majorHAnsi" w:hAnsiTheme="majorHAnsi" w:cstheme="majorHAnsi"/>
                <w:b/>
                <w:highlight w:val="yellow"/>
              </w:rPr>
            </w:pPr>
            <w:r w:rsidRPr="00E262D1">
              <w:rPr>
                <w:rFonts w:asciiTheme="majorHAnsi" w:hAnsiTheme="majorHAnsi" w:cstheme="majorHAnsi"/>
                <w:b/>
                <w:highlight w:val="yellow"/>
              </w:rPr>
              <w:t>Progress Testing</w:t>
            </w:r>
          </w:p>
        </w:tc>
        <w:tc>
          <w:tcPr>
            <w:tcW w:w="6475" w:type="dxa"/>
          </w:tcPr>
          <w:p w14:paraId="1E508E9D" w14:textId="575CEF44" w:rsidR="00E262D1" w:rsidRPr="00E262D1" w:rsidRDefault="00256D10" w:rsidP="00E262D1">
            <w:pPr>
              <w:rPr>
                <w:rFonts w:asciiTheme="majorHAnsi" w:hAnsiTheme="majorHAnsi" w:cstheme="majorHAnsi"/>
              </w:rPr>
            </w:pPr>
            <w:r w:rsidRPr="00990C79">
              <w:rPr>
                <w:rFonts w:asciiTheme="majorHAnsi" w:hAnsiTheme="majorHAnsi" w:cstheme="majorHAnsi"/>
              </w:rPr>
              <w:t xml:space="preserve">(1) </w:t>
            </w:r>
            <w:r w:rsidR="00E262D1" w:rsidRPr="00E262D1">
              <w:rPr>
                <w:rFonts w:asciiTheme="majorHAnsi" w:hAnsiTheme="majorHAnsi" w:cstheme="majorHAnsi"/>
              </w:rPr>
              <w:t>Progress testing appears reasonable to the students</w:t>
            </w:r>
            <w:r w:rsidR="00E262D1">
              <w:rPr>
                <w:rFonts w:asciiTheme="majorHAnsi" w:hAnsiTheme="majorHAnsi" w:cstheme="majorHAnsi"/>
              </w:rPr>
              <w:t>,</w:t>
            </w:r>
            <w:r w:rsidR="00E262D1" w:rsidRPr="00E262D1">
              <w:rPr>
                <w:rFonts w:asciiTheme="majorHAnsi" w:hAnsiTheme="majorHAnsi" w:cstheme="majorHAnsi"/>
              </w:rPr>
              <w:t xml:space="preserve"> but they had di</w:t>
            </w:r>
            <w:r w:rsidR="00E262D1">
              <w:rPr>
                <w:rFonts w:asciiTheme="majorHAnsi" w:hAnsiTheme="majorHAnsi" w:cstheme="majorHAnsi"/>
              </w:rPr>
              <w:t>fferent thoughts on how to do this successfully.</w:t>
            </w:r>
            <w:r w:rsidR="00E262D1" w:rsidRPr="00E262D1">
              <w:rPr>
                <w:rFonts w:asciiTheme="majorHAnsi" w:hAnsiTheme="majorHAnsi" w:cstheme="majorHAnsi"/>
              </w:rPr>
              <w:t xml:space="preserve"> </w:t>
            </w:r>
          </w:p>
          <w:p w14:paraId="27325596" w14:textId="77777777" w:rsidR="00E262D1" w:rsidRDefault="00E262D1" w:rsidP="00E262D1">
            <w:pPr>
              <w:rPr>
                <w:rFonts w:asciiTheme="majorHAnsi" w:hAnsiTheme="majorHAnsi" w:cstheme="majorHAnsi"/>
              </w:rPr>
            </w:pPr>
            <w:r>
              <w:rPr>
                <w:rFonts w:asciiTheme="majorHAnsi" w:hAnsiTheme="majorHAnsi" w:cstheme="majorHAnsi"/>
              </w:rPr>
              <w:t xml:space="preserve">(2) </w:t>
            </w:r>
            <w:r w:rsidRPr="00E262D1">
              <w:rPr>
                <w:rFonts w:asciiTheme="majorHAnsi" w:hAnsiTheme="majorHAnsi" w:cstheme="majorHAnsi"/>
              </w:rPr>
              <w:t>One student suggestion – cumulating progress testing, especially aligning with USMLE Step 1 and then step 2 approach (e.g., cumulating until the MS2’s take the Step 1, a Step 1 test offered few months; non-identical questions on each test but testing the same concepts, skills, behaviors. Then switch to cumulating progress tests based on Step 2 until the MS3’s take their Step 2; then cumulating UPSOM EPOs/AAMC EPAs every few months until the MS4’s graduate)</w:t>
            </w:r>
            <w:r>
              <w:rPr>
                <w:rFonts w:asciiTheme="majorHAnsi" w:hAnsiTheme="majorHAnsi" w:cstheme="majorHAnsi"/>
              </w:rPr>
              <w:t>.</w:t>
            </w:r>
          </w:p>
          <w:p w14:paraId="571530D6" w14:textId="7BF801A1" w:rsidR="00C66EB5" w:rsidRPr="00990C79" w:rsidRDefault="00E262D1" w:rsidP="00E262D1">
            <w:pPr>
              <w:rPr>
                <w:rFonts w:asciiTheme="majorHAnsi" w:hAnsiTheme="majorHAnsi" w:cstheme="majorHAnsi"/>
              </w:rPr>
            </w:pPr>
            <w:r>
              <w:rPr>
                <w:rFonts w:asciiTheme="majorHAnsi" w:hAnsiTheme="majorHAnsi" w:cstheme="majorHAnsi"/>
              </w:rPr>
              <w:t xml:space="preserve">(3) </w:t>
            </w:r>
            <w:r w:rsidRPr="00E262D1">
              <w:rPr>
                <w:rFonts w:asciiTheme="majorHAnsi" w:hAnsiTheme="majorHAnsi" w:cstheme="majorHAnsi"/>
              </w:rPr>
              <w:t>Student(s) suggested progress testing should be very low or no stakes, often less than full-length step in terms of number of questions, and might be optional so if overwhelm about them students do not have to opt in at any given or all progress tests.</w:t>
            </w:r>
          </w:p>
        </w:tc>
      </w:tr>
      <w:tr w:rsidR="00B07888" w:rsidRPr="00990C79" w14:paraId="0F15FBEB" w14:textId="77777777" w:rsidTr="00256D10">
        <w:tc>
          <w:tcPr>
            <w:tcW w:w="2875" w:type="dxa"/>
            <w:vAlign w:val="center"/>
          </w:tcPr>
          <w:p w14:paraId="1B31CCDB" w14:textId="26405ED3" w:rsidR="00B07888" w:rsidRPr="00E262D1" w:rsidRDefault="00E262D1" w:rsidP="00256D10">
            <w:pPr>
              <w:rPr>
                <w:rFonts w:asciiTheme="majorHAnsi" w:hAnsiTheme="majorHAnsi" w:cstheme="majorHAnsi"/>
                <w:b/>
                <w:highlight w:val="yellow"/>
              </w:rPr>
            </w:pPr>
            <w:r w:rsidRPr="00E262D1">
              <w:rPr>
                <w:rFonts w:asciiTheme="majorHAnsi" w:hAnsiTheme="majorHAnsi" w:cstheme="majorHAnsi"/>
                <w:b/>
                <w:highlight w:val="yellow"/>
              </w:rPr>
              <w:t>Medical Anatomy</w:t>
            </w:r>
          </w:p>
        </w:tc>
        <w:tc>
          <w:tcPr>
            <w:tcW w:w="6475" w:type="dxa"/>
          </w:tcPr>
          <w:p w14:paraId="608CA800" w14:textId="60E25002" w:rsidR="00C66EB5" w:rsidRPr="00990C79" w:rsidRDefault="00C66EB5">
            <w:pPr>
              <w:rPr>
                <w:rFonts w:asciiTheme="majorHAnsi" w:hAnsiTheme="majorHAnsi" w:cstheme="majorHAnsi"/>
              </w:rPr>
            </w:pPr>
            <w:r w:rsidRPr="00990C79">
              <w:rPr>
                <w:rFonts w:asciiTheme="majorHAnsi" w:hAnsiTheme="majorHAnsi" w:cstheme="majorHAnsi"/>
              </w:rPr>
              <w:t xml:space="preserve">(1) </w:t>
            </w:r>
            <w:bookmarkStart w:id="0" w:name="_GoBack"/>
            <w:bookmarkEnd w:id="0"/>
            <w:r w:rsidR="00B446DB" w:rsidRPr="00B446DB">
              <w:rPr>
                <w:rFonts w:asciiTheme="majorHAnsi" w:hAnsiTheme="majorHAnsi" w:cstheme="majorHAnsi"/>
              </w:rPr>
              <w:t xml:space="preserve">One student wondered if we needed a full seven weeks of anatomy, or if the content </w:t>
            </w:r>
            <w:proofErr w:type="gramStart"/>
            <w:r w:rsidR="00B446DB" w:rsidRPr="00B446DB">
              <w:rPr>
                <w:rFonts w:asciiTheme="majorHAnsi" w:hAnsiTheme="majorHAnsi" w:cstheme="majorHAnsi"/>
              </w:rPr>
              <w:t>could be taught</w:t>
            </w:r>
            <w:proofErr w:type="gramEnd"/>
            <w:r w:rsidR="00B446DB" w:rsidRPr="00B446DB">
              <w:rPr>
                <w:rFonts w:asciiTheme="majorHAnsi" w:hAnsiTheme="majorHAnsi" w:cstheme="majorHAnsi"/>
              </w:rPr>
              <w:t xml:space="preserve"> in a shorter time.  In the new curriculum, anatomy will likely consist of a shorter core exposure with supplemental sessions running</w:t>
            </w:r>
            <w:r w:rsidR="00B446DB">
              <w:rPr>
                <w:rFonts w:asciiTheme="majorHAnsi" w:hAnsiTheme="majorHAnsi" w:cstheme="majorHAnsi"/>
              </w:rPr>
              <w:t xml:space="preserve"> concurrent with organ systems.</w:t>
            </w:r>
          </w:p>
        </w:tc>
      </w:tr>
      <w:tr w:rsidR="00B07888" w:rsidRPr="00990C79" w14:paraId="0AD88FFA" w14:textId="77777777" w:rsidTr="00256D10">
        <w:tc>
          <w:tcPr>
            <w:tcW w:w="2875" w:type="dxa"/>
            <w:vAlign w:val="center"/>
          </w:tcPr>
          <w:p w14:paraId="7984403E" w14:textId="74CD1A87" w:rsidR="00B07888" w:rsidRPr="00E262D1" w:rsidRDefault="00E262D1" w:rsidP="00256D10">
            <w:pPr>
              <w:rPr>
                <w:rFonts w:asciiTheme="majorHAnsi" w:hAnsiTheme="majorHAnsi" w:cstheme="majorHAnsi"/>
                <w:b/>
                <w:highlight w:val="yellow"/>
              </w:rPr>
            </w:pPr>
            <w:r w:rsidRPr="00E262D1">
              <w:rPr>
                <w:rFonts w:asciiTheme="majorHAnsi" w:hAnsiTheme="majorHAnsi" w:cstheme="majorHAnsi"/>
                <w:b/>
                <w:highlight w:val="yellow"/>
              </w:rPr>
              <w:t>Transition Years</w:t>
            </w:r>
          </w:p>
        </w:tc>
        <w:tc>
          <w:tcPr>
            <w:tcW w:w="6475" w:type="dxa"/>
          </w:tcPr>
          <w:p w14:paraId="61A17A2A" w14:textId="760C044C" w:rsidR="00C66EB5" w:rsidRPr="00990C79" w:rsidRDefault="00C66EB5">
            <w:pPr>
              <w:rPr>
                <w:rFonts w:asciiTheme="majorHAnsi" w:hAnsiTheme="majorHAnsi" w:cstheme="majorHAnsi"/>
              </w:rPr>
            </w:pPr>
            <w:r w:rsidRPr="00990C79">
              <w:rPr>
                <w:rFonts w:asciiTheme="majorHAnsi" w:hAnsiTheme="majorHAnsi" w:cstheme="majorHAnsi"/>
              </w:rPr>
              <w:t xml:space="preserve">(1) </w:t>
            </w:r>
            <w:r w:rsidR="00E262D1" w:rsidRPr="00E262D1">
              <w:rPr>
                <w:rFonts w:asciiTheme="majorHAnsi" w:hAnsiTheme="majorHAnsi" w:cstheme="majorHAnsi"/>
              </w:rPr>
              <w:t xml:space="preserve">Transition years where both legacy and new curriculum are occurring for the different year medical students needs to be thought out logistically – at some point the new curriculum will need someone </w:t>
            </w:r>
            <w:r w:rsidR="00E262D1" w:rsidRPr="00E262D1">
              <w:rPr>
                <w:rFonts w:asciiTheme="majorHAnsi" w:hAnsiTheme="majorHAnsi" w:cstheme="majorHAnsi"/>
              </w:rPr>
              <w:lastRenderedPageBreak/>
              <w:t>from OMED to oversee this who would be a good lead at this or some appropriate future point on this?</w:t>
            </w:r>
          </w:p>
        </w:tc>
      </w:tr>
      <w:tr w:rsidR="00B07888" w:rsidRPr="00990C79" w14:paraId="22B56CE1" w14:textId="77777777" w:rsidTr="00256D10">
        <w:tc>
          <w:tcPr>
            <w:tcW w:w="2875" w:type="dxa"/>
            <w:vAlign w:val="center"/>
          </w:tcPr>
          <w:p w14:paraId="5064D350" w14:textId="740A3399" w:rsidR="00B07888" w:rsidRPr="00F8561C" w:rsidRDefault="00F8561C" w:rsidP="00256D10">
            <w:pPr>
              <w:rPr>
                <w:rFonts w:asciiTheme="majorHAnsi" w:hAnsiTheme="majorHAnsi" w:cstheme="majorHAnsi"/>
                <w:b/>
                <w:highlight w:val="yellow"/>
              </w:rPr>
            </w:pPr>
            <w:r w:rsidRPr="00F8561C">
              <w:rPr>
                <w:rFonts w:asciiTheme="majorHAnsi" w:hAnsiTheme="majorHAnsi" w:cstheme="majorHAnsi"/>
                <w:b/>
                <w:highlight w:val="yellow"/>
              </w:rPr>
              <w:lastRenderedPageBreak/>
              <w:t xml:space="preserve">Thread: </w:t>
            </w:r>
            <w:proofErr w:type="spellStart"/>
            <w:r w:rsidR="00B07888" w:rsidRPr="00F8561C">
              <w:rPr>
                <w:rFonts w:asciiTheme="majorHAnsi" w:hAnsiTheme="majorHAnsi" w:cstheme="majorHAnsi"/>
                <w:b/>
                <w:highlight w:val="yellow"/>
              </w:rPr>
              <w:t>Interprofessional</w:t>
            </w:r>
            <w:proofErr w:type="spellEnd"/>
          </w:p>
        </w:tc>
        <w:tc>
          <w:tcPr>
            <w:tcW w:w="6475" w:type="dxa"/>
          </w:tcPr>
          <w:p w14:paraId="798341E5" w14:textId="77777777" w:rsidR="00990C79" w:rsidRDefault="00C66EB5" w:rsidP="00306134">
            <w:pPr>
              <w:rPr>
                <w:rFonts w:asciiTheme="majorHAnsi" w:hAnsiTheme="majorHAnsi" w:cstheme="majorHAnsi"/>
              </w:rPr>
            </w:pPr>
            <w:r w:rsidRPr="00990C79">
              <w:rPr>
                <w:rFonts w:asciiTheme="majorHAnsi" w:hAnsiTheme="majorHAnsi" w:cstheme="majorHAnsi"/>
              </w:rPr>
              <w:t xml:space="preserve">(1) </w:t>
            </w:r>
            <w:proofErr w:type="spellStart"/>
            <w:r w:rsidR="00990C79" w:rsidRPr="00990C79">
              <w:rPr>
                <w:rFonts w:asciiTheme="majorHAnsi" w:hAnsiTheme="majorHAnsi" w:cstheme="majorHAnsi"/>
              </w:rPr>
              <w:t>Interprofessionalism</w:t>
            </w:r>
            <w:proofErr w:type="spellEnd"/>
            <w:r w:rsidR="00990C79" w:rsidRPr="00990C79">
              <w:rPr>
                <w:rFonts w:asciiTheme="majorHAnsi" w:hAnsiTheme="majorHAnsi" w:cstheme="majorHAnsi"/>
              </w:rPr>
              <w:t xml:space="preserve"> preclinical </w:t>
            </w:r>
            <w:proofErr w:type="spellStart"/>
            <w:r w:rsidR="00990C79" w:rsidRPr="00990C79">
              <w:rPr>
                <w:rFonts w:asciiTheme="majorHAnsi" w:hAnsiTheme="majorHAnsi" w:cstheme="majorHAnsi"/>
              </w:rPr>
              <w:t>scaffolded</w:t>
            </w:r>
            <w:proofErr w:type="spellEnd"/>
            <w:r w:rsidR="00990C79" w:rsidRPr="00990C79">
              <w:rPr>
                <w:rFonts w:asciiTheme="majorHAnsi" w:hAnsiTheme="majorHAnsi" w:cstheme="majorHAnsi"/>
              </w:rPr>
              <w:t xml:space="preserve"> with available project inter-professional-collaboration (community-based, nonprofits , patient-advocacy) requiring students in the MD, PA, Nursing, Pharmacy, Dental, and Gradua</w:t>
            </w:r>
            <w:r w:rsidR="00990C79">
              <w:rPr>
                <w:rFonts w:asciiTheme="majorHAnsi" w:hAnsiTheme="majorHAnsi" w:cstheme="majorHAnsi"/>
              </w:rPr>
              <w:t>te degree programs in a group</w:t>
            </w:r>
          </w:p>
          <w:p w14:paraId="470B973A" w14:textId="29594175" w:rsidR="00C66EB5" w:rsidRPr="00990C79" w:rsidRDefault="00990C79" w:rsidP="00306134">
            <w:pPr>
              <w:rPr>
                <w:rFonts w:asciiTheme="majorHAnsi" w:hAnsiTheme="majorHAnsi" w:cstheme="majorHAnsi"/>
              </w:rPr>
            </w:pPr>
            <w:r>
              <w:rPr>
                <w:rFonts w:asciiTheme="majorHAnsi" w:hAnsiTheme="majorHAnsi" w:cstheme="majorHAnsi"/>
              </w:rPr>
              <w:t>(2) N</w:t>
            </w:r>
            <w:r w:rsidRPr="00990C79">
              <w:rPr>
                <w:rFonts w:asciiTheme="majorHAnsi" w:hAnsiTheme="majorHAnsi" w:cstheme="majorHAnsi"/>
              </w:rPr>
              <w:t xml:space="preserve">atural scaffolding using small group project-based </w:t>
            </w:r>
            <w:r>
              <w:rPr>
                <w:rFonts w:asciiTheme="majorHAnsi" w:hAnsiTheme="majorHAnsi" w:cstheme="majorHAnsi"/>
              </w:rPr>
              <w:t xml:space="preserve">– great report by the student - </w:t>
            </w:r>
            <w:r w:rsidRPr="00990C79">
              <w:rPr>
                <w:rFonts w:asciiTheme="majorHAnsi" w:hAnsiTheme="majorHAnsi" w:cstheme="majorHAnsi"/>
              </w:rPr>
              <w:t>re-</w:t>
            </w:r>
            <w:proofErr w:type="spellStart"/>
            <w:r w:rsidRPr="00990C79">
              <w:rPr>
                <w:rFonts w:asciiTheme="majorHAnsi" w:hAnsiTheme="majorHAnsi" w:cstheme="majorHAnsi"/>
              </w:rPr>
              <w:t>interatable</w:t>
            </w:r>
            <w:proofErr w:type="spellEnd"/>
            <w:r w:rsidRPr="00990C79">
              <w:rPr>
                <w:rFonts w:asciiTheme="majorHAnsi" w:hAnsiTheme="majorHAnsi" w:cstheme="majorHAnsi"/>
              </w:rPr>
              <w:t xml:space="preserve"> and scalable too!</w:t>
            </w:r>
          </w:p>
        </w:tc>
      </w:tr>
    </w:tbl>
    <w:p w14:paraId="5C20468D" w14:textId="466A7AEE" w:rsidR="00F8561C" w:rsidRDefault="00F8561C" w:rsidP="00684899">
      <w:pPr>
        <w:tabs>
          <w:tab w:val="left" w:pos="2670"/>
        </w:tabs>
      </w:pPr>
    </w:p>
    <w:p w14:paraId="0BE1A60C" w14:textId="77777777" w:rsidR="00F8561C" w:rsidRPr="00F8561C" w:rsidRDefault="00F8561C" w:rsidP="00F8561C"/>
    <w:p w14:paraId="3814700D" w14:textId="77777777" w:rsidR="00F8561C" w:rsidRPr="00F8561C" w:rsidRDefault="00F8561C" w:rsidP="00F8561C">
      <w:pPr>
        <w:tabs>
          <w:tab w:val="left" w:pos="5520"/>
        </w:tabs>
      </w:pPr>
    </w:p>
    <w:sectPr w:rsidR="00F8561C" w:rsidRPr="00F8561C" w:rsidSect="00256D10">
      <w:headerReference w:type="default" r:id="rId10"/>
      <w:pgSz w:w="12240" w:h="15840"/>
      <w:pgMar w:top="1152"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D6E61" w14:textId="77777777" w:rsidR="00616DCD" w:rsidRDefault="00616DCD" w:rsidP="00616DCD">
      <w:pPr>
        <w:spacing w:after="0" w:line="240" w:lineRule="auto"/>
      </w:pPr>
      <w:r>
        <w:separator/>
      </w:r>
    </w:p>
  </w:endnote>
  <w:endnote w:type="continuationSeparator" w:id="0">
    <w:p w14:paraId="1A3D871D" w14:textId="77777777" w:rsidR="00616DCD" w:rsidRDefault="00616DCD" w:rsidP="00616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50DD5D" w14:textId="77777777" w:rsidR="00616DCD" w:rsidRDefault="00616DCD" w:rsidP="00616DCD">
      <w:pPr>
        <w:spacing w:after="0" w:line="240" w:lineRule="auto"/>
      </w:pPr>
      <w:r>
        <w:separator/>
      </w:r>
    </w:p>
  </w:footnote>
  <w:footnote w:type="continuationSeparator" w:id="0">
    <w:p w14:paraId="16A03922" w14:textId="77777777" w:rsidR="00616DCD" w:rsidRDefault="00616DCD" w:rsidP="00616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D1D5F" w14:textId="70DEE5E3" w:rsidR="00616DCD" w:rsidRDefault="00616DCD">
    <w:pPr>
      <w:pStyle w:val="Header"/>
      <w:rPr>
        <w:b/>
      </w:rPr>
    </w:pPr>
    <w:r>
      <w:rPr>
        <w:b/>
      </w:rPr>
      <w:t xml:space="preserve">Curriculum Reform Town Hall Meeting </w:t>
    </w:r>
  </w:p>
  <w:p w14:paraId="32261F57" w14:textId="67AA89C7" w:rsidR="00616DCD" w:rsidRDefault="00616DCD" w:rsidP="00256D10">
    <w:pPr>
      <w:pStyle w:val="Header"/>
      <w:pBdr>
        <w:bottom w:val="single" w:sz="4" w:space="1" w:color="auto"/>
      </w:pBdr>
      <w:rPr>
        <w:b/>
      </w:rPr>
    </w:pPr>
    <w:r>
      <w:rPr>
        <w:b/>
      </w:rPr>
      <w:t>Meeting Highlights</w:t>
    </w:r>
    <w:r w:rsidR="00990C79">
      <w:rPr>
        <w:b/>
      </w:rPr>
      <w:t xml:space="preserve"> from May 25</w:t>
    </w:r>
    <w:r w:rsidR="00DA764D">
      <w:rPr>
        <w:b/>
      </w:rPr>
      <w:t>, 2021</w:t>
    </w:r>
  </w:p>
  <w:p w14:paraId="15FC7461" w14:textId="77777777" w:rsidR="00616DCD" w:rsidRPr="00616DCD" w:rsidRDefault="00616DCD">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BF6B4F"/>
    <w:multiLevelType w:val="hybridMultilevel"/>
    <w:tmpl w:val="2AB25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D71EE38"/>
    <w:rsid w:val="00036994"/>
    <w:rsid w:val="00256D10"/>
    <w:rsid w:val="00435099"/>
    <w:rsid w:val="005916E9"/>
    <w:rsid w:val="00616DCD"/>
    <w:rsid w:val="00684899"/>
    <w:rsid w:val="00973AC7"/>
    <w:rsid w:val="00990C79"/>
    <w:rsid w:val="00993A95"/>
    <w:rsid w:val="00B07888"/>
    <w:rsid w:val="00B446DB"/>
    <w:rsid w:val="00BF29C8"/>
    <w:rsid w:val="00C66EB5"/>
    <w:rsid w:val="00C876A2"/>
    <w:rsid w:val="00DA764D"/>
    <w:rsid w:val="00E262D1"/>
    <w:rsid w:val="00F8561C"/>
    <w:rsid w:val="00FD7407"/>
    <w:rsid w:val="1D71EE3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1EE38"/>
  <w15:chartTrackingRefBased/>
  <w15:docId w15:val="{2123023F-ACBF-4F21-9C18-0C8294DBF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7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6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DCD"/>
  </w:style>
  <w:style w:type="paragraph" w:styleId="Footer">
    <w:name w:val="footer"/>
    <w:basedOn w:val="Normal"/>
    <w:link w:val="FooterChar"/>
    <w:uiPriority w:val="99"/>
    <w:unhideWhenUsed/>
    <w:rsid w:val="00616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D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19148">
      <w:bodyDiv w:val="1"/>
      <w:marLeft w:val="0"/>
      <w:marRight w:val="0"/>
      <w:marTop w:val="0"/>
      <w:marBottom w:val="0"/>
      <w:divBdr>
        <w:top w:val="none" w:sz="0" w:space="0" w:color="auto"/>
        <w:left w:val="none" w:sz="0" w:space="0" w:color="auto"/>
        <w:bottom w:val="none" w:sz="0" w:space="0" w:color="auto"/>
        <w:right w:val="none" w:sz="0" w:space="0" w:color="auto"/>
      </w:divBdr>
    </w:div>
    <w:div w:id="1166440139">
      <w:bodyDiv w:val="1"/>
      <w:marLeft w:val="0"/>
      <w:marRight w:val="0"/>
      <w:marTop w:val="0"/>
      <w:marBottom w:val="0"/>
      <w:divBdr>
        <w:top w:val="none" w:sz="0" w:space="0" w:color="auto"/>
        <w:left w:val="none" w:sz="0" w:space="0" w:color="auto"/>
        <w:bottom w:val="none" w:sz="0" w:space="0" w:color="auto"/>
        <w:right w:val="none" w:sz="0" w:space="0" w:color="auto"/>
      </w:divBdr>
    </w:div>
    <w:div w:id="1201942388">
      <w:bodyDiv w:val="1"/>
      <w:marLeft w:val="0"/>
      <w:marRight w:val="0"/>
      <w:marTop w:val="0"/>
      <w:marBottom w:val="0"/>
      <w:divBdr>
        <w:top w:val="none" w:sz="0" w:space="0" w:color="auto"/>
        <w:left w:val="none" w:sz="0" w:space="0" w:color="auto"/>
        <w:bottom w:val="none" w:sz="0" w:space="0" w:color="auto"/>
        <w:right w:val="none" w:sz="0" w:space="0" w:color="auto"/>
      </w:divBdr>
    </w:div>
    <w:div w:id="145570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B330A2AACB94478B4CC2F39002A861" ma:contentTypeVersion="13" ma:contentTypeDescription="Create a new document." ma:contentTypeScope="" ma:versionID="713078c9b4c12a48ee24e15031fdff0e">
  <xsd:schema xmlns:xsd="http://www.w3.org/2001/XMLSchema" xmlns:xs="http://www.w3.org/2001/XMLSchema" xmlns:p="http://schemas.microsoft.com/office/2006/metadata/properties" xmlns:ns3="ba28866e-f5dd-4244-9a9f-5ea6ca469195" xmlns:ns4="1c19515c-c7c5-4d54-a7fa-846a4eb38078" targetNamespace="http://schemas.microsoft.com/office/2006/metadata/properties" ma:root="true" ma:fieldsID="826ad48a051f700f495baf9c5cf6b7c4" ns3:_="" ns4:_="">
    <xsd:import namespace="ba28866e-f5dd-4244-9a9f-5ea6ca469195"/>
    <xsd:import namespace="1c19515c-c7c5-4d54-a7fa-846a4eb3807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28866e-f5dd-4244-9a9f-5ea6ca469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19515c-c7c5-4d54-a7fa-846a4eb3807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6ECF81-6AA9-4061-9706-8FA6F0F52828}">
  <ds:schemaRefs>
    <ds:schemaRef ds:uri="http://schemas.microsoft.com/sharepoint/v3/contenttype/forms"/>
  </ds:schemaRefs>
</ds:datastoreItem>
</file>

<file path=customXml/itemProps2.xml><?xml version="1.0" encoding="utf-8"?>
<ds:datastoreItem xmlns:ds="http://schemas.openxmlformats.org/officeDocument/2006/customXml" ds:itemID="{4FB551B3-9D77-4058-A7D6-162EFFDE1E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28866e-f5dd-4244-9a9f-5ea6ca469195"/>
    <ds:schemaRef ds:uri="1c19515c-c7c5-4d54-a7fa-846a4eb380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DA09AB-FFB4-47CD-817C-6726F301926C}">
  <ds:schemaRefs>
    <ds:schemaRef ds:uri="http://schemas.microsoft.com/office/2006/metadata/properties"/>
    <ds:schemaRef ds:uri="ba28866e-f5dd-4244-9a9f-5ea6ca469195"/>
    <ds:schemaRef ds:uri="http://purl.org/dc/terms/"/>
    <ds:schemaRef ds:uri="http://schemas.microsoft.com/office/2006/documentManagement/types"/>
    <ds:schemaRef ds:uri="1c19515c-c7c5-4d54-a7fa-846a4eb38078"/>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Rosenstock, Jason</dc:creator>
  <cp:keywords/>
  <dc:description/>
  <cp:lastModifiedBy>Sergent, Michelle Lynn</cp:lastModifiedBy>
  <cp:revision>13</cp:revision>
  <dcterms:created xsi:type="dcterms:W3CDTF">2021-05-03T16:34:00Z</dcterms:created>
  <dcterms:modified xsi:type="dcterms:W3CDTF">2021-06-03T21:56:00Z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4b1be8-281e-475d-98b0-21c3457e5a46_Enabled">
    <vt:lpwstr>True</vt:lpwstr>
  </property>
  <property fmtid="{D5CDD505-2E9C-101B-9397-08002B2CF9AE}" pid="3" name="MSIP_Label_5e4b1be8-281e-475d-98b0-21c3457e5a46_SiteId">
    <vt:lpwstr>8b3dd73e-4e72-4679-b191-56da1588712b</vt:lpwstr>
  </property>
  <property fmtid="{D5CDD505-2E9C-101B-9397-08002B2CF9AE}" pid="4" name="MSIP_Label_5e4b1be8-281e-475d-98b0-21c3457e5a46_ActionId">
    <vt:lpwstr>f4ac494d-ddc0-4dae-af4a-a866c24b203d</vt:lpwstr>
  </property>
  <property fmtid="{D5CDD505-2E9C-101B-9397-08002B2CF9AE}" pid="5" name="MSIP_Label_5e4b1be8-281e-475d-98b0-21c3457e5a46_Method">
    <vt:lpwstr>Standard</vt:lpwstr>
  </property>
  <property fmtid="{D5CDD505-2E9C-101B-9397-08002B2CF9AE}" pid="6" name="MSIP_Label_5e4b1be8-281e-475d-98b0-21c3457e5a46_SetDate">
    <vt:lpwstr>2021-04-29T16:53:51Z</vt:lpwstr>
  </property>
  <property fmtid="{D5CDD505-2E9C-101B-9397-08002B2CF9AE}" pid="7" name="MSIP_Label_5e4b1be8-281e-475d-98b0-21c3457e5a46_Name">
    <vt:lpwstr>Public</vt:lpwstr>
  </property>
  <property fmtid="{D5CDD505-2E9C-101B-9397-08002B2CF9AE}" pid="8" name="MSIP_Label_5e4b1be8-281e-475d-98b0-21c3457e5a46_ContentBits">
    <vt:lpwstr>0</vt:lpwstr>
  </property>
  <property fmtid="{D5CDD505-2E9C-101B-9397-08002B2CF9AE}" pid="9" name="ContentTypeId">
    <vt:lpwstr>0x010100B0B330A2AACB94478B4CC2F39002A861</vt:lpwstr>
  </property>
</Properties>
</file>