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D3401" w14:textId="77777777" w:rsidR="000260B9" w:rsidRDefault="000260B9" w:rsidP="000260B9">
      <w:pPr>
        <w:jc w:val="center"/>
        <w:rPr>
          <w:b/>
        </w:rPr>
      </w:pPr>
      <w:r>
        <w:rPr>
          <w:b/>
        </w:rPr>
        <w:t>Mini-Retreat This Week</w:t>
      </w:r>
    </w:p>
    <w:p w14:paraId="28C0E6FA" w14:textId="53E64A66" w:rsidR="000260B9" w:rsidRDefault="000260B9" w:rsidP="000260B9">
      <w:r>
        <w:t>The Leadership Group has asked all working groups to send one member to the min</w:t>
      </w:r>
      <w:r w:rsidR="00660041">
        <w:t>i</w:t>
      </w:r>
      <w:r>
        <w:t>-retreat on Thursday, October 13 from 5-8pm in 11</w:t>
      </w:r>
      <w:r w:rsidRPr="000260B9">
        <w:rPr>
          <w:vertAlign w:val="superscript"/>
        </w:rPr>
        <w:t>th</w:t>
      </w:r>
      <w:r>
        <w:t xml:space="preserve"> floor Alan Magee Scaife Hall. The impetus of the meeting is to better resolve questions that involve multiple groups/clusters. </w:t>
      </w:r>
    </w:p>
    <w:p w14:paraId="0B69CBC8" w14:textId="77777777" w:rsidR="000260B9" w:rsidRDefault="000260B9" w:rsidP="000260B9">
      <w:r>
        <w:t>Decisions made that night will reflect the following areas:</w:t>
      </w:r>
    </w:p>
    <w:p w14:paraId="74BB6BA7" w14:textId="5BFC6B34" w:rsidR="000260B9" w:rsidRDefault="000260B9" w:rsidP="000260B9">
      <w:pPr>
        <w:pStyle w:val="ListParagraph"/>
        <w:numPr>
          <w:ilvl w:val="0"/>
          <w:numId w:val="28"/>
        </w:numPr>
      </w:pPr>
      <w:r>
        <w:t>Longitudinal Educa</w:t>
      </w:r>
      <w:r w:rsidR="00660041">
        <w:t>tor roles and time expectations</w:t>
      </w:r>
    </w:p>
    <w:p w14:paraId="5F6CB7EF" w14:textId="02B5008F" w:rsidR="00660041" w:rsidRDefault="000260B9" w:rsidP="00660041">
      <w:pPr>
        <w:pStyle w:val="ListParagraph"/>
        <w:numPr>
          <w:ilvl w:val="0"/>
          <w:numId w:val="28"/>
        </w:numPr>
      </w:pPr>
      <w:r>
        <w:t>Faculty Leadership roles and ti</w:t>
      </w:r>
      <w:r w:rsidR="00660041">
        <w:t>me expectations</w:t>
      </w:r>
    </w:p>
    <w:p w14:paraId="775EA9E0" w14:textId="77777777" w:rsidR="000260B9" w:rsidRDefault="000260B9" w:rsidP="000260B9">
      <w:pPr>
        <w:pStyle w:val="ListParagraph"/>
        <w:numPr>
          <w:ilvl w:val="0"/>
          <w:numId w:val="28"/>
        </w:numPr>
      </w:pPr>
      <w:r>
        <w:t>Thread integration in cases</w:t>
      </w:r>
    </w:p>
    <w:p w14:paraId="05A7F48F" w14:textId="77777777" w:rsidR="000260B9" w:rsidRDefault="000260B9" w:rsidP="000260B9">
      <w:pPr>
        <w:pStyle w:val="ListParagraph"/>
        <w:numPr>
          <w:ilvl w:val="1"/>
          <w:numId w:val="28"/>
        </w:numPr>
      </w:pPr>
      <w:r>
        <w:t>Physician Patient and Society</w:t>
      </w:r>
    </w:p>
    <w:p w14:paraId="175DC0EF" w14:textId="77777777" w:rsidR="000260B9" w:rsidRDefault="000260B9" w:rsidP="000260B9">
      <w:pPr>
        <w:pStyle w:val="ListParagraph"/>
        <w:numPr>
          <w:ilvl w:val="1"/>
          <w:numId w:val="28"/>
        </w:numPr>
      </w:pPr>
      <w:r>
        <w:t>Intro to Patient Care</w:t>
      </w:r>
    </w:p>
    <w:p w14:paraId="02BF4008" w14:textId="77777777" w:rsidR="000260B9" w:rsidRDefault="000260B9" w:rsidP="000260B9">
      <w:pPr>
        <w:pStyle w:val="ListParagraph"/>
        <w:numPr>
          <w:ilvl w:val="1"/>
          <w:numId w:val="28"/>
        </w:numPr>
      </w:pPr>
      <w:r>
        <w:t>Evidence-based Medicine</w:t>
      </w:r>
    </w:p>
    <w:p w14:paraId="7E083703" w14:textId="77777777" w:rsidR="000260B9" w:rsidRPr="000260B9" w:rsidRDefault="000260B9" w:rsidP="000260B9">
      <w:pPr>
        <w:pStyle w:val="ListParagraph"/>
        <w:numPr>
          <w:ilvl w:val="0"/>
          <w:numId w:val="28"/>
        </w:numPr>
      </w:pPr>
      <w:r>
        <w:t>Content mapping process</w:t>
      </w:r>
    </w:p>
    <w:p w14:paraId="1C337291" w14:textId="77777777" w:rsidR="000260B9" w:rsidRDefault="000260B9" w:rsidP="000260B9">
      <w:pPr>
        <w:jc w:val="center"/>
        <w:rPr>
          <w:b/>
        </w:rPr>
      </w:pPr>
      <w:r>
        <w:rPr>
          <w:b/>
        </w:rPr>
        <w:t>Phase 3 Updates</w:t>
      </w:r>
    </w:p>
    <w:p w14:paraId="7CBEF49F" w14:textId="33596CE0" w:rsidR="000260B9" w:rsidRDefault="00F962BE" w:rsidP="000260B9">
      <w:r>
        <w:t xml:space="preserve">The Steering Committee wishes to thank the early deadline working groups for their thoughtful submissions. On Friday, Steering responded to the submissions and asks that groups reply by Friday, </w:t>
      </w:r>
      <w:r w:rsidR="00660041">
        <w:t>Oct</w:t>
      </w:r>
      <w:r>
        <w:t xml:space="preserve"> 21. </w:t>
      </w:r>
    </w:p>
    <w:p w14:paraId="44BB70B2" w14:textId="77777777" w:rsidR="00F962BE" w:rsidRDefault="00F962BE" w:rsidP="000260B9">
      <w:r>
        <w:t>Questions or concerns should be brought to the Cluster leads. Thanks again!</w:t>
      </w:r>
    </w:p>
    <w:p w14:paraId="65DF3D18" w14:textId="77777777" w:rsidR="000260B9" w:rsidRDefault="000260B9" w:rsidP="000260B9">
      <w:pPr>
        <w:jc w:val="center"/>
        <w:rPr>
          <w:b/>
        </w:rPr>
      </w:pPr>
      <w:r>
        <w:rPr>
          <w:b/>
        </w:rPr>
        <w:t>AchieveIt Update</w:t>
      </w:r>
    </w:p>
    <w:p w14:paraId="4037B928" w14:textId="77777777" w:rsidR="000260B9" w:rsidRDefault="00F962BE" w:rsidP="000260B9">
      <w:r>
        <w:t>AchieveIt is FINALLY HERE</w:t>
      </w:r>
    </w:p>
    <w:p w14:paraId="34C6FB8A" w14:textId="5977E259" w:rsidR="00F962BE" w:rsidRDefault="00F962BE" w:rsidP="000260B9">
      <w:r>
        <w:t>Save the Date: October 27: 9am-2pm for Achi</w:t>
      </w:r>
      <w:r w:rsidR="00660041">
        <w:t xml:space="preserve">eveit Kickoff- with a hybrid option. </w:t>
      </w:r>
      <w:bookmarkStart w:id="0" w:name="_GoBack"/>
      <w:bookmarkEnd w:id="0"/>
    </w:p>
    <w:p w14:paraId="50ACA5F6" w14:textId="77777777" w:rsidR="00F962BE" w:rsidRDefault="00F962BE" w:rsidP="000260B9">
      <w:pPr>
        <w:rPr>
          <w:b/>
        </w:rPr>
      </w:pPr>
      <w:r>
        <w:t>As a reminder, Achieveit will help us all streamline our Phase 3 work by allowing us to communicate, set goals/deliverables, and</w:t>
      </w:r>
      <w:r w:rsidR="004D33B1">
        <w:t xml:space="preserve"> </w:t>
      </w:r>
      <w:r>
        <w:t xml:space="preserve">monitoring success. As a bonus, licensees are welcome to use Achieveit for their own work outside of Phase 3! </w:t>
      </w:r>
    </w:p>
    <w:p w14:paraId="0A67BD7D" w14:textId="77777777" w:rsidR="000260B9" w:rsidRDefault="000260B9" w:rsidP="000260B9">
      <w:pPr>
        <w:pBdr>
          <w:bottom w:val="single" w:sz="12" w:space="1" w:color="auto"/>
        </w:pBdr>
        <w:rPr>
          <w:b/>
        </w:rPr>
      </w:pPr>
      <w:r>
        <w:t xml:space="preserve">Click this </w:t>
      </w:r>
      <w:hyperlink r:id="rId10" w:history="1">
        <w:r w:rsidRPr="00B32C0B">
          <w:rPr>
            <w:rStyle w:val="Hyperlink"/>
          </w:rPr>
          <w:t>link</w:t>
        </w:r>
      </w:hyperlink>
      <w:r>
        <w:t xml:space="preserve"> for a 2-minute demo of Achieveit</w:t>
      </w:r>
    </w:p>
    <w:p w14:paraId="48DD2632" w14:textId="77777777" w:rsidR="000260B9" w:rsidRDefault="000260B9" w:rsidP="000260B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6F8174D" wp14:editId="36A2B67F">
            <wp:extent cx="1257300" cy="13271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F386F" w14:textId="77777777" w:rsidR="000260B9" w:rsidRDefault="000260B9" w:rsidP="000260B9">
      <w:pPr>
        <w:jc w:val="center"/>
        <w:rPr>
          <w:b/>
        </w:rPr>
      </w:pPr>
      <w:r>
        <w:rPr>
          <w:b/>
        </w:rPr>
        <w:t>DASHBOARD</w:t>
      </w:r>
    </w:p>
    <w:p w14:paraId="4DF4E638" w14:textId="77777777" w:rsidR="000260B9" w:rsidRDefault="000260B9" w:rsidP="000260B9">
      <w:pPr>
        <w:jc w:val="center"/>
        <w:rPr>
          <w:b/>
        </w:rPr>
      </w:pPr>
      <w:r>
        <w:rPr>
          <w:b/>
        </w:rPr>
        <w:t>Currently under construction</w:t>
      </w:r>
    </w:p>
    <w:p w14:paraId="4730E1C3" w14:textId="77777777" w:rsidR="000260B9" w:rsidRPr="00D52068" w:rsidRDefault="000260B9" w:rsidP="000260B9">
      <w:pPr>
        <w:jc w:val="center"/>
      </w:pPr>
      <w:r>
        <w:t xml:space="preserve">We will use this area to visualize our progress. </w:t>
      </w:r>
    </w:p>
    <w:p w14:paraId="3951D380" w14:textId="77777777" w:rsidR="000260B9" w:rsidRDefault="000260B9" w:rsidP="000260B9">
      <w:pPr>
        <w:jc w:val="center"/>
        <w:rPr>
          <w:b/>
        </w:rPr>
      </w:pPr>
      <w:r>
        <w:rPr>
          <w:b/>
        </w:rPr>
        <w:t>Early Completion Percent Completion (9/15)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985"/>
      </w:tblGrid>
      <w:tr w:rsidR="000260B9" w14:paraId="5BA43457" w14:textId="77777777" w:rsidTr="000D5B22">
        <w:tc>
          <w:tcPr>
            <w:tcW w:w="3325" w:type="dxa"/>
          </w:tcPr>
          <w:p w14:paraId="132BB14A" w14:textId="77777777" w:rsidR="000260B9" w:rsidRPr="00D32CBE" w:rsidRDefault="000260B9" w:rsidP="000D5B22">
            <w:r>
              <w:t>Longitudinal</w:t>
            </w:r>
            <w:r w:rsidRPr="00D32CBE">
              <w:t xml:space="preserve"> Educator Job Description</w:t>
            </w:r>
          </w:p>
        </w:tc>
        <w:tc>
          <w:tcPr>
            <w:tcW w:w="985" w:type="dxa"/>
            <w:shd w:val="clear" w:color="auto" w:fill="70AD47" w:themeFill="accent6"/>
          </w:tcPr>
          <w:p w14:paraId="0E3D2AEB" w14:textId="77777777" w:rsidR="000260B9" w:rsidRPr="00D32CBE" w:rsidRDefault="000260B9" w:rsidP="000D5B22"/>
        </w:tc>
      </w:tr>
      <w:tr w:rsidR="000260B9" w14:paraId="5015F81D" w14:textId="77777777" w:rsidTr="000D5B22">
        <w:tc>
          <w:tcPr>
            <w:tcW w:w="3325" w:type="dxa"/>
          </w:tcPr>
          <w:p w14:paraId="4578C592" w14:textId="77777777" w:rsidR="000260B9" w:rsidRPr="00D32CBE" w:rsidRDefault="000260B9" w:rsidP="000D5B22">
            <w:r w:rsidRPr="00D32CBE">
              <w:t xml:space="preserve">Clinical Skills Preceptor </w:t>
            </w:r>
            <w:r>
              <w:t>Duties and Training</w:t>
            </w:r>
          </w:p>
        </w:tc>
        <w:tc>
          <w:tcPr>
            <w:tcW w:w="985" w:type="dxa"/>
            <w:shd w:val="clear" w:color="auto" w:fill="70AD47" w:themeFill="accent6"/>
          </w:tcPr>
          <w:p w14:paraId="45405552" w14:textId="77777777" w:rsidR="000260B9" w:rsidRPr="00D32CBE" w:rsidRDefault="000260B9" w:rsidP="000D5B22"/>
        </w:tc>
      </w:tr>
      <w:tr w:rsidR="000260B9" w14:paraId="5023C908" w14:textId="77777777" w:rsidTr="000D5B22">
        <w:tc>
          <w:tcPr>
            <w:tcW w:w="3325" w:type="dxa"/>
          </w:tcPr>
          <w:p w14:paraId="75DC5BC1" w14:textId="77777777" w:rsidR="000260B9" w:rsidRPr="00D32CBE" w:rsidRDefault="000260B9" w:rsidP="000D5B22">
            <w:r>
              <w:t>Review current title/job descriptions for leadership roles</w:t>
            </w:r>
          </w:p>
        </w:tc>
        <w:tc>
          <w:tcPr>
            <w:tcW w:w="985" w:type="dxa"/>
            <w:shd w:val="clear" w:color="auto" w:fill="70AD47" w:themeFill="accent6"/>
          </w:tcPr>
          <w:p w14:paraId="21B8F88C" w14:textId="77777777" w:rsidR="000260B9" w:rsidRPr="00D32CBE" w:rsidRDefault="000260B9" w:rsidP="000D5B22"/>
        </w:tc>
      </w:tr>
      <w:tr w:rsidR="000260B9" w14:paraId="51709294" w14:textId="77777777" w:rsidTr="000D5B22">
        <w:tc>
          <w:tcPr>
            <w:tcW w:w="3325" w:type="dxa"/>
          </w:tcPr>
          <w:p w14:paraId="07E41E43" w14:textId="77777777" w:rsidR="000260B9" w:rsidRPr="00D32CBE" w:rsidRDefault="000260B9" w:rsidP="000D5B22">
            <w:r>
              <w:t>Approval of finalized Working Group membership</w:t>
            </w:r>
          </w:p>
        </w:tc>
        <w:tc>
          <w:tcPr>
            <w:tcW w:w="985" w:type="dxa"/>
            <w:shd w:val="clear" w:color="auto" w:fill="70AD47" w:themeFill="accent6"/>
          </w:tcPr>
          <w:p w14:paraId="5569A876" w14:textId="77777777" w:rsidR="000260B9" w:rsidRPr="00D32CBE" w:rsidRDefault="000260B9" w:rsidP="000D5B22"/>
        </w:tc>
      </w:tr>
    </w:tbl>
    <w:p w14:paraId="66B41E31" w14:textId="77777777" w:rsidR="000260B9" w:rsidRDefault="000260B9" w:rsidP="000260B9">
      <w:pPr>
        <w:jc w:val="center"/>
        <w:rPr>
          <w:b/>
        </w:rPr>
      </w:pPr>
      <w:r>
        <w:rPr>
          <w:b/>
        </w:rPr>
        <w:t>Due 9/23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985"/>
      </w:tblGrid>
      <w:tr w:rsidR="000260B9" w14:paraId="76484DB0" w14:textId="77777777" w:rsidTr="000260B9">
        <w:tc>
          <w:tcPr>
            <w:tcW w:w="3325" w:type="dxa"/>
          </w:tcPr>
          <w:p w14:paraId="26F72341" w14:textId="77777777" w:rsidR="000260B9" w:rsidRPr="00D32CBE" w:rsidRDefault="000260B9" w:rsidP="000D5B22">
            <w:pPr>
              <w:jc w:val="center"/>
            </w:pPr>
            <w:r>
              <w:t>Basic Science Educator Job Description</w:t>
            </w:r>
          </w:p>
        </w:tc>
        <w:tc>
          <w:tcPr>
            <w:tcW w:w="985" w:type="dxa"/>
            <w:shd w:val="clear" w:color="auto" w:fill="70AD47" w:themeFill="accent6"/>
          </w:tcPr>
          <w:p w14:paraId="72104C34" w14:textId="77777777" w:rsidR="000260B9" w:rsidRDefault="000260B9" w:rsidP="000D5B22">
            <w:pPr>
              <w:jc w:val="center"/>
              <w:rPr>
                <w:b/>
              </w:rPr>
            </w:pPr>
          </w:p>
        </w:tc>
      </w:tr>
    </w:tbl>
    <w:p w14:paraId="4ED9613B" w14:textId="77777777" w:rsidR="000260B9" w:rsidRDefault="000260B9" w:rsidP="000260B9">
      <w:pPr>
        <w:jc w:val="center"/>
        <w:rPr>
          <w:b/>
        </w:rPr>
      </w:pPr>
      <w:r>
        <w:rPr>
          <w:b/>
        </w:rPr>
        <w:t>Due 10/15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985"/>
      </w:tblGrid>
      <w:tr w:rsidR="000260B9" w14:paraId="29345918" w14:textId="77777777" w:rsidTr="000D5B22">
        <w:tc>
          <w:tcPr>
            <w:tcW w:w="3325" w:type="dxa"/>
          </w:tcPr>
          <w:p w14:paraId="0473FDDD" w14:textId="77777777" w:rsidR="000260B9" w:rsidRPr="00D32CBE" w:rsidRDefault="000260B9" w:rsidP="000D5B22">
            <w:pPr>
              <w:jc w:val="center"/>
            </w:pPr>
            <w:r>
              <w:t>Selection process for longitudinal educators and faculty leadership</w:t>
            </w:r>
          </w:p>
        </w:tc>
        <w:tc>
          <w:tcPr>
            <w:tcW w:w="985" w:type="dxa"/>
          </w:tcPr>
          <w:p w14:paraId="70DEAA33" w14:textId="77777777" w:rsidR="000260B9" w:rsidRPr="00D32CBE" w:rsidRDefault="000260B9" w:rsidP="000D5B22">
            <w:pPr>
              <w:jc w:val="center"/>
            </w:pPr>
          </w:p>
        </w:tc>
      </w:tr>
      <w:tr w:rsidR="000260B9" w14:paraId="1A9BBA3E" w14:textId="77777777" w:rsidTr="000D5B22">
        <w:tc>
          <w:tcPr>
            <w:tcW w:w="3325" w:type="dxa"/>
          </w:tcPr>
          <w:p w14:paraId="584ABD37" w14:textId="77777777" w:rsidR="000260B9" w:rsidRPr="00D32CBE" w:rsidRDefault="000260B9" w:rsidP="000D5B22">
            <w:pPr>
              <w:jc w:val="center"/>
            </w:pPr>
            <w:r>
              <w:t>Identify new mapping system</w:t>
            </w:r>
          </w:p>
        </w:tc>
        <w:tc>
          <w:tcPr>
            <w:tcW w:w="985" w:type="dxa"/>
          </w:tcPr>
          <w:p w14:paraId="4649DC78" w14:textId="77777777" w:rsidR="000260B9" w:rsidRPr="00D32CBE" w:rsidRDefault="000260B9" w:rsidP="000D5B22">
            <w:pPr>
              <w:jc w:val="center"/>
            </w:pPr>
          </w:p>
        </w:tc>
      </w:tr>
    </w:tbl>
    <w:p w14:paraId="63449D69" w14:textId="77777777" w:rsidR="000260B9" w:rsidRDefault="000260B9" w:rsidP="000260B9">
      <w:pPr>
        <w:jc w:val="center"/>
        <w:rPr>
          <w:b/>
        </w:rPr>
      </w:pPr>
    </w:p>
    <w:p w14:paraId="5A57AA85" w14:textId="77777777" w:rsidR="000260B9" w:rsidRDefault="000260B9" w:rsidP="000260B9">
      <w:pPr>
        <w:jc w:val="center"/>
        <w:rPr>
          <w:b/>
        </w:rPr>
      </w:pPr>
      <w:r>
        <w:rPr>
          <w:b/>
        </w:rPr>
        <w:t>Countdown to March 1, 2023</w:t>
      </w:r>
    </w:p>
    <w:p w14:paraId="7035A74D" w14:textId="77777777" w:rsidR="000260B9" w:rsidRPr="00D179C2" w:rsidRDefault="000260B9" w:rsidP="000260B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>
        <w:rPr>
          <w:b/>
        </w:rPr>
        <w:t xml:space="preserve">142 </w:t>
      </w:r>
      <w:r w:rsidRPr="00D179C2">
        <w:rPr>
          <w:b/>
        </w:rPr>
        <w:t>Days</w:t>
      </w:r>
    </w:p>
    <w:p w14:paraId="55601FE5" w14:textId="77777777" w:rsidR="00F962BE" w:rsidRDefault="004D33B1" w:rsidP="000260B9">
      <w:pPr>
        <w:jc w:val="center"/>
        <w:rPr>
          <w:b/>
        </w:rPr>
      </w:pPr>
      <w:r>
        <w:rPr>
          <w:b/>
        </w:rPr>
        <w:t>TO DO</w:t>
      </w:r>
    </w:p>
    <w:p w14:paraId="63B475D2" w14:textId="77777777" w:rsidR="004D33B1" w:rsidRDefault="004D33B1" w:rsidP="004D33B1">
      <w:r>
        <w:t>-Check that WG is sending a rep to mini-retreat</w:t>
      </w:r>
    </w:p>
    <w:p w14:paraId="1D18ED21" w14:textId="77777777" w:rsidR="004D33B1" w:rsidRDefault="004D33B1" w:rsidP="004D33B1">
      <w:r>
        <w:t>-Save the date for Achieveit Kickoff</w:t>
      </w:r>
    </w:p>
    <w:p w14:paraId="604DDDC8" w14:textId="77777777" w:rsidR="004D33B1" w:rsidRDefault="004D33B1" w:rsidP="004D33B1">
      <w:r>
        <w:t>-Contact your Cluster Leads with any questions</w:t>
      </w:r>
    </w:p>
    <w:p w14:paraId="264236D9" w14:textId="77777777" w:rsidR="004D33B1" w:rsidRPr="004D33B1" w:rsidRDefault="004D33B1" w:rsidP="004D33B1">
      <w:r>
        <w:t xml:space="preserve">-Are their parts of our work that are publishable? Keep an eye out for opportunities within your working group to spread the word on innovations! </w:t>
      </w:r>
    </w:p>
    <w:p w14:paraId="553ED99B" w14:textId="77777777" w:rsidR="000260B9" w:rsidRDefault="000260B9" w:rsidP="000260B9">
      <w:pPr>
        <w:jc w:val="center"/>
        <w:rPr>
          <w:b/>
        </w:rPr>
      </w:pPr>
      <w:r w:rsidRPr="00A20B1F">
        <w:rPr>
          <w:b/>
        </w:rPr>
        <w:lastRenderedPageBreak/>
        <w:t>Under the Hood</w:t>
      </w:r>
      <w:r>
        <w:rPr>
          <w:b/>
        </w:rPr>
        <w:t>: Mandates from other Groups</w:t>
      </w:r>
    </w:p>
    <w:p w14:paraId="672EE0AE" w14:textId="77777777" w:rsidR="000260B9" w:rsidRDefault="000260B9" w:rsidP="000260B9">
      <w:pPr>
        <w:jc w:val="center"/>
        <w:rPr>
          <w:b/>
        </w:rPr>
      </w:pPr>
      <w:r>
        <w:rPr>
          <w:b/>
        </w:rPr>
        <w:t xml:space="preserve">Foundations Organ Systems </w:t>
      </w:r>
    </w:p>
    <w:p w14:paraId="0C6E5718" w14:textId="77777777" w:rsidR="000260B9" w:rsidRDefault="000260B9" w:rsidP="000260B9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Submit the weekly calendars for MS1-2 Organ Systems Foundations by January 2023</w:t>
      </w:r>
      <w:r>
        <w:rPr>
          <w:rStyle w:val="eop"/>
          <w:rFonts w:ascii="Calibri" w:hAnsi="Calibri" w:cs="Calibri"/>
        </w:rPr>
        <w:t> </w:t>
      </w:r>
    </w:p>
    <w:p w14:paraId="000FEC12" w14:textId="77777777" w:rsidR="000260B9" w:rsidRDefault="000260B9" w:rsidP="000260B9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Finalize the weekly clinical teaching cases and assessments including case goals, learning objectives, and faculty leadership</w:t>
      </w:r>
      <w:r>
        <w:rPr>
          <w:rStyle w:val="eop"/>
          <w:rFonts w:ascii="Calibri" w:hAnsi="Calibri" w:cs="Calibri"/>
        </w:rPr>
        <w:t> </w:t>
      </w:r>
    </w:p>
    <w:p w14:paraId="7DE0126D" w14:textId="77777777" w:rsidR="000260B9" w:rsidRDefault="000260B9" w:rsidP="000260B9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shd w:val="clear" w:color="auto" w:fill="FAF9F8"/>
        </w:rPr>
        <w:t>Implement more active learning techniques that move away from lecture-based education and towards a more challenging clinical case-based learning</w:t>
      </w:r>
      <w:r>
        <w:rPr>
          <w:rStyle w:val="eop"/>
          <w:rFonts w:ascii="Calibri" w:hAnsi="Calibri" w:cs="Calibri"/>
        </w:rPr>
        <w:t> </w:t>
      </w:r>
    </w:p>
    <w:p w14:paraId="182FE007" w14:textId="77777777" w:rsidR="000260B9" w:rsidRDefault="000260B9" w:rsidP="000260B9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Develop a template to be used for subgroups to plan out weekly curricular events</w:t>
      </w:r>
      <w:r>
        <w:rPr>
          <w:rStyle w:val="eop"/>
          <w:rFonts w:ascii="Calibri" w:hAnsi="Calibri" w:cs="Calibri"/>
          <w:color w:val="000000"/>
        </w:rPr>
        <w:t> </w:t>
      </w:r>
    </w:p>
    <w:p w14:paraId="7FB23A8A" w14:textId="77777777" w:rsidR="000260B9" w:rsidRDefault="000260B9" w:rsidP="000260B9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Identify possible “masterclass” topics/presenters</w:t>
      </w:r>
      <w:r>
        <w:rPr>
          <w:rStyle w:val="eop"/>
          <w:rFonts w:ascii="Calibri" w:hAnsi="Calibri" w:cs="Calibri"/>
          <w:color w:val="000000"/>
        </w:rPr>
        <w:t> </w:t>
      </w:r>
    </w:p>
    <w:p w14:paraId="737CC3B4" w14:textId="77777777" w:rsidR="000260B9" w:rsidRDefault="000260B9" w:rsidP="000260B9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shd w:val="clear" w:color="auto" w:fill="FAF9F8"/>
        </w:rPr>
        <w:t>Review clinical cases with a panel of generalists and specialists in conjunction with those who are expert in the basic sciences as well as cases created for the Patient-Centered Care block</w:t>
      </w:r>
      <w:r>
        <w:rPr>
          <w:rStyle w:val="eop"/>
          <w:rFonts w:ascii="Calibri" w:hAnsi="Calibri" w:cs="Calibri"/>
        </w:rPr>
        <w:t> </w:t>
      </w:r>
    </w:p>
    <w:p w14:paraId="146CCF19" w14:textId="77777777" w:rsidR="000260B9" w:rsidRDefault="000260B9" w:rsidP="000260B9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Identify opportunities for collaboration across the schools of the health sciences, to share resources where possible</w:t>
      </w:r>
      <w:r>
        <w:rPr>
          <w:rStyle w:val="eop"/>
          <w:rFonts w:ascii="Calibri" w:hAnsi="Calibri" w:cs="Calibri"/>
        </w:rPr>
        <w:t> </w:t>
      </w:r>
    </w:p>
    <w:p w14:paraId="2D51AB8E" w14:textId="77777777" w:rsidR="000260B9" w:rsidRDefault="000260B9" w:rsidP="000260B9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shd w:val="clear" w:color="auto" w:fill="FAF9F8"/>
        </w:rPr>
        <w:t>Review Foundations content to ensure the highest relevance to clinical medicine.</w:t>
      </w:r>
      <w:r>
        <w:rPr>
          <w:rStyle w:val="eop"/>
          <w:rFonts w:ascii="Calibri" w:hAnsi="Calibri" w:cs="Calibri"/>
        </w:rPr>
        <w:t> </w:t>
      </w:r>
    </w:p>
    <w:p w14:paraId="312F2647" w14:textId="77777777" w:rsidR="000260B9" w:rsidRDefault="000260B9" w:rsidP="000260B9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shd w:val="clear" w:color="auto" w:fill="FAF9F8"/>
        </w:rPr>
        <w:t>Ensure clinical cases in Foundations should be prioritized with attention to alignment with USMLE designated diseases, a focus on common, foundational  disorders that  students will likely encounter; and inclusion of 1-2 USMLE-listed rare diseases </w:t>
      </w:r>
      <w:r>
        <w:rPr>
          <w:rStyle w:val="eop"/>
          <w:rFonts w:ascii="Calibri" w:hAnsi="Calibri" w:cs="Calibri"/>
        </w:rPr>
        <w:t> </w:t>
      </w:r>
    </w:p>
    <w:p w14:paraId="78DC3467" w14:textId="77777777" w:rsidR="000260B9" w:rsidRDefault="000260B9" w:rsidP="000260B9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Determine the process and resources required for asynchronous content creation (e.g., instructional design, AV studio time, faculty development/support)</w:t>
      </w:r>
      <w:r>
        <w:rPr>
          <w:rStyle w:val="eop"/>
          <w:rFonts w:ascii="Calibri" w:hAnsi="Calibri" w:cs="Calibri"/>
        </w:rPr>
        <w:t> </w:t>
      </w:r>
    </w:p>
    <w:p w14:paraId="32D33F9E" w14:textId="77777777" w:rsidR="000260B9" w:rsidRDefault="000260B9" w:rsidP="000260B9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Collaborate with the Mapping/Integration working group to create a content map that shows where topics and threads are covered across the phase, and how they link with overall educational program objectives.</w:t>
      </w:r>
      <w:r>
        <w:rPr>
          <w:rStyle w:val="eop"/>
          <w:rFonts w:ascii="Calibri" w:hAnsi="Calibri" w:cs="Calibri"/>
        </w:rPr>
        <w:t> </w:t>
      </w:r>
    </w:p>
    <w:p w14:paraId="6D3C4EF6" w14:textId="77777777" w:rsidR="000260B9" w:rsidRPr="00F962BE" w:rsidRDefault="000260B9" w:rsidP="000260B9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Meet with other Foundations groups (Keystones, Assessment) and the Patient-Centered Care group at least monthly to assure consistency of learning themes and assessment of competency</w:t>
      </w:r>
      <w:r>
        <w:rPr>
          <w:rStyle w:val="eop"/>
          <w:rFonts w:ascii="Calibri" w:hAnsi="Calibri" w:cs="Calibri"/>
          <w:color w:val="000000"/>
        </w:rPr>
        <w:t> </w:t>
      </w:r>
    </w:p>
    <w:p w14:paraId="3DAE26E8" w14:textId="77777777" w:rsidR="00F962BE" w:rsidRDefault="00F962BE" w:rsidP="00F962B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</w:p>
    <w:p w14:paraId="5D176FB7" w14:textId="77777777" w:rsidR="00F962BE" w:rsidRPr="00F962BE" w:rsidRDefault="00F962BE" w:rsidP="00F962BE">
      <w:pPr>
        <w:jc w:val="center"/>
        <w:rPr>
          <w:b/>
        </w:rPr>
      </w:pP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  <w:t>3 Truths, One Lie about Me</w:t>
      </w:r>
    </w:p>
    <w:p w14:paraId="6725ACB9" w14:textId="77777777" w:rsidR="00F962BE" w:rsidRPr="00F962BE" w:rsidRDefault="00F962BE" w:rsidP="00F962BE">
      <w:pPr>
        <w:ind w:left="360"/>
        <w:jc w:val="center"/>
        <w:rPr>
          <w:b/>
        </w:rPr>
      </w:pPr>
      <w:r>
        <w:rPr>
          <w:noProof/>
        </w:rPr>
        <w:drawing>
          <wp:inline distT="0" distB="0" distL="0" distR="0" wp14:anchorId="3DAC5A35" wp14:editId="180D790D">
            <wp:extent cx="1180141" cy="1040926"/>
            <wp:effectExtent l="0" t="0" r="1270" b="6985"/>
            <wp:docPr id="1" name="Picture 1" descr="https://www.emergencymedicine.pitt.edu/sites/default/files/person-images/NELSON_JANNA_ED_COORD_EM_2016110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ergencymedicine.pitt.edu/sites/default/files/person-images/NELSON_JANNA_ED_COORD_EM_20161108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049" cy="105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02EF8" w14:textId="77777777" w:rsidR="00F962BE" w:rsidRPr="00B32C0B" w:rsidRDefault="00F962BE" w:rsidP="00F962BE">
      <w:pPr>
        <w:pStyle w:val="NoSpacing"/>
        <w:ind w:left="720"/>
        <w:jc w:val="center"/>
        <w:rPr>
          <w:b/>
        </w:rPr>
      </w:pPr>
      <w:r>
        <w:rPr>
          <w:b/>
        </w:rPr>
        <w:t>Janna Nelson</w:t>
      </w:r>
    </w:p>
    <w:p w14:paraId="23F699F1" w14:textId="77777777" w:rsidR="00F962BE" w:rsidRDefault="00F962BE" w:rsidP="00F962BE">
      <w:pPr>
        <w:pStyle w:val="NoSpacing"/>
        <w:ind w:left="720"/>
        <w:jc w:val="center"/>
      </w:pPr>
      <w:r>
        <w:t>Emergency Medicine, Scheduling/Logistics WG</w:t>
      </w:r>
    </w:p>
    <w:p w14:paraId="467C6EB8" w14:textId="77777777" w:rsidR="00F962BE" w:rsidRDefault="00F962BE" w:rsidP="00F962BE">
      <w:pPr>
        <w:pStyle w:val="NoSpacing"/>
        <w:ind w:left="720"/>
      </w:pPr>
    </w:p>
    <w:p w14:paraId="2EB05D37" w14:textId="77777777" w:rsidR="00F962BE" w:rsidRDefault="00F962BE" w:rsidP="00F962BE">
      <w:pPr>
        <w:pStyle w:val="ListParagraph"/>
      </w:pPr>
      <w:r>
        <w:t>-I can lick my elbow.</w:t>
      </w:r>
    </w:p>
    <w:p w14:paraId="3EF4CEB0" w14:textId="77777777" w:rsidR="00F962BE" w:rsidRDefault="00F962BE" w:rsidP="00F962BE">
      <w:pPr>
        <w:pStyle w:val="ListParagraph"/>
      </w:pPr>
      <w:r>
        <w:t>-I played rugby in college.</w:t>
      </w:r>
    </w:p>
    <w:p w14:paraId="50AA0942" w14:textId="77777777" w:rsidR="00F962BE" w:rsidRDefault="00F962BE" w:rsidP="00F962BE">
      <w:pPr>
        <w:pStyle w:val="ListParagraph"/>
      </w:pPr>
      <w:r>
        <w:t>-I have a dog named Ham.</w:t>
      </w:r>
    </w:p>
    <w:p w14:paraId="26320238" w14:textId="77777777" w:rsidR="00F962BE" w:rsidRDefault="00F962BE" w:rsidP="00F962BE">
      <w:pPr>
        <w:pStyle w:val="ListParagraph"/>
      </w:pPr>
      <w:r>
        <w:t>-My current phone is an iPhone 6.</w:t>
      </w:r>
    </w:p>
    <w:p w14:paraId="678BDEA1" w14:textId="77777777" w:rsidR="000260B9" w:rsidRDefault="000260B9" w:rsidP="000260B9">
      <w:pPr>
        <w:rPr>
          <w:b/>
        </w:rPr>
      </w:pPr>
    </w:p>
    <w:p w14:paraId="7BE8C0D8" w14:textId="77777777" w:rsidR="000260B9" w:rsidRDefault="000260B9" w:rsidP="000260B9">
      <w:pPr>
        <w:jc w:val="center"/>
      </w:pPr>
      <w:r>
        <w:rPr>
          <w:noProof/>
        </w:rPr>
        <w:drawing>
          <wp:inline distT="0" distB="0" distL="0" distR="0" wp14:anchorId="1B3FF198" wp14:editId="7F240452">
            <wp:extent cx="1439376" cy="1526611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508" cy="1563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3B1010" w14:textId="77777777" w:rsidR="00FD249C" w:rsidRDefault="00FD249C"/>
    <w:sectPr w:rsidR="00FD249C" w:rsidSect="004C5EE0">
      <w:headerReference w:type="default" r:id="rId14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44746" w14:textId="77777777" w:rsidR="00F962BE" w:rsidRDefault="00F962BE" w:rsidP="00F962BE">
      <w:pPr>
        <w:spacing w:after="0" w:line="240" w:lineRule="auto"/>
      </w:pPr>
      <w:r>
        <w:separator/>
      </w:r>
    </w:p>
  </w:endnote>
  <w:endnote w:type="continuationSeparator" w:id="0">
    <w:p w14:paraId="0B575E88" w14:textId="77777777" w:rsidR="00F962BE" w:rsidRDefault="00F962BE" w:rsidP="00F9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99A60" w14:textId="77777777" w:rsidR="00F962BE" w:rsidRDefault="00F962BE" w:rsidP="00F962BE">
      <w:pPr>
        <w:spacing w:after="0" w:line="240" w:lineRule="auto"/>
      </w:pPr>
      <w:r>
        <w:separator/>
      </w:r>
    </w:p>
  </w:footnote>
  <w:footnote w:type="continuationSeparator" w:id="0">
    <w:p w14:paraId="60DA821E" w14:textId="77777777" w:rsidR="00F962BE" w:rsidRDefault="00F962BE" w:rsidP="00F9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587B8" w14:textId="77777777" w:rsidR="004C5EE0" w:rsidRPr="00D876C9" w:rsidRDefault="004D33B1" w:rsidP="004C5EE0">
    <w:pPr>
      <w:pStyle w:val="Header"/>
      <w:jc w:val="center"/>
      <w:rPr>
        <w:rFonts w:ascii="Algerian" w:hAnsi="Algerian"/>
        <w:sz w:val="40"/>
      </w:rPr>
    </w:pPr>
    <w:r w:rsidRPr="00D876C9">
      <w:rPr>
        <w:rFonts w:ascii="Algerian" w:hAnsi="Algerian"/>
        <w:sz w:val="40"/>
      </w:rPr>
      <w:t>Main Channel</w:t>
    </w:r>
  </w:p>
  <w:p w14:paraId="31549B5A" w14:textId="77777777" w:rsidR="004C5EE0" w:rsidRDefault="004D33B1" w:rsidP="004C5EE0">
    <w:pPr>
      <w:pStyle w:val="Header"/>
      <w:jc w:val="center"/>
    </w:pPr>
    <w:r>
      <w:t>Curriculum Re</w:t>
    </w:r>
    <w:r w:rsidR="00F962BE">
      <w:t>form Newsletter for October 10</w:t>
    </w:r>
    <w: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1A7"/>
    <w:multiLevelType w:val="multilevel"/>
    <w:tmpl w:val="EFA424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52D78"/>
    <w:multiLevelType w:val="multilevel"/>
    <w:tmpl w:val="1B6A1F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34050"/>
    <w:multiLevelType w:val="multilevel"/>
    <w:tmpl w:val="19E6005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60B5E"/>
    <w:multiLevelType w:val="multilevel"/>
    <w:tmpl w:val="AB9AB5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12280"/>
    <w:multiLevelType w:val="multilevel"/>
    <w:tmpl w:val="96B051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0466B"/>
    <w:multiLevelType w:val="multilevel"/>
    <w:tmpl w:val="7BCCAD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5707C"/>
    <w:multiLevelType w:val="hybridMultilevel"/>
    <w:tmpl w:val="44C24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61A9B"/>
    <w:multiLevelType w:val="multilevel"/>
    <w:tmpl w:val="E2428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93E1E"/>
    <w:multiLevelType w:val="multilevel"/>
    <w:tmpl w:val="9760A6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6164DB"/>
    <w:multiLevelType w:val="hybridMultilevel"/>
    <w:tmpl w:val="5FEC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66858"/>
    <w:multiLevelType w:val="multilevel"/>
    <w:tmpl w:val="A8E87F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F4323"/>
    <w:multiLevelType w:val="multilevel"/>
    <w:tmpl w:val="B3C6690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9631EF"/>
    <w:multiLevelType w:val="multilevel"/>
    <w:tmpl w:val="9B64B2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24242D"/>
    <w:multiLevelType w:val="multilevel"/>
    <w:tmpl w:val="1226B77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6003C"/>
    <w:multiLevelType w:val="multilevel"/>
    <w:tmpl w:val="77BE4692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945AD"/>
    <w:multiLevelType w:val="multilevel"/>
    <w:tmpl w:val="A052E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0B763D"/>
    <w:multiLevelType w:val="multilevel"/>
    <w:tmpl w:val="8DEE6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5060B"/>
    <w:multiLevelType w:val="multilevel"/>
    <w:tmpl w:val="E66A37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57255F"/>
    <w:multiLevelType w:val="multilevel"/>
    <w:tmpl w:val="B7A01E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670CC"/>
    <w:multiLevelType w:val="multilevel"/>
    <w:tmpl w:val="094C2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041FC5"/>
    <w:multiLevelType w:val="multilevel"/>
    <w:tmpl w:val="F9749F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8264A7"/>
    <w:multiLevelType w:val="multilevel"/>
    <w:tmpl w:val="50B0C9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1310A9"/>
    <w:multiLevelType w:val="multilevel"/>
    <w:tmpl w:val="D03C3EB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FD0DF1"/>
    <w:multiLevelType w:val="multilevel"/>
    <w:tmpl w:val="2DB867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7E2622"/>
    <w:multiLevelType w:val="multilevel"/>
    <w:tmpl w:val="34785B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00593A"/>
    <w:multiLevelType w:val="multilevel"/>
    <w:tmpl w:val="C01C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295143"/>
    <w:multiLevelType w:val="multilevel"/>
    <w:tmpl w:val="665C3B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9A1467"/>
    <w:multiLevelType w:val="multilevel"/>
    <w:tmpl w:val="C484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16"/>
  </w:num>
  <w:num w:numId="4">
    <w:abstractNumId w:val="1"/>
  </w:num>
  <w:num w:numId="5">
    <w:abstractNumId w:val="0"/>
  </w:num>
  <w:num w:numId="6">
    <w:abstractNumId w:val="12"/>
  </w:num>
  <w:num w:numId="7">
    <w:abstractNumId w:val="17"/>
  </w:num>
  <w:num w:numId="8">
    <w:abstractNumId w:val="19"/>
  </w:num>
  <w:num w:numId="9">
    <w:abstractNumId w:val="5"/>
  </w:num>
  <w:num w:numId="10">
    <w:abstractNumId w:val="8"/>
  </w:num>
  <w:num w:numId="11">
    <w:abstractNumId w:val="11"/>
  </w:num>
  <w:num w:numId="12">
    <w:abstractNumId w:val="13"/>
  </w:num>
  <w:num w:numId="13">
    <w:abstractNumId w:val="2"/>
  </w:num>
  <w:num w:numId="14">
    <w:abstractNumId w:val="14"/>
  </w:num>
  <w:num w:numId="15">
    <w:abstractNumId w:val="22"/>
  </w:num>
  <w:num w:numId="16">
    <w:abstractNumId w:val="27"/>
  </w:num>
  <w:num w:numId="17">
    <w:abstractNumId w:val="7"/>
  </w:num>
  <w:num w:numId="18">
    <w:abstractNumId w:val="15"/>
  </w:num>
  <w:num w:numId="19">
    <w:abstractNumId w:val="3"/>
  </w:num>
  <w:num w:numId="20">
    <w:abstractNumId w:val="10"/>
  </w:num>
  <w:num w:numId="21">
    <w:abstractNumId w:val="23"/>
  </w:num>
  <w:num w:numId="22">
    <w:abstractNumId w:val="4"/>
  </w:num>
  <w:num w:numId="23">
    <w:abstractNumId w:val="20"/>
  </w:num>
  <w:num w:numId="24">
    <w:abstractNumId w:val="26"/>
  </w:num>
  <w:num w:numId="25">
    <w:abstractNumId w:val="24"/>
  </w:num>
  <w:num w:numId="26">
    <w:abstractNumId w:val="18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B9"/>
    <w:rsid w:val="000260B9"/>
    <w:rsid w:val="004D33B1"/>
    <w:rsid w:val="00660041"/>
    <w:rsid w:val="00F962BE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E135"/>
  <w15:chartTrackingRefBased/>
  <w15:docId w15:val="{24ECFC25-CCC7-463A-B904-BCF1F2FE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2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260B9"/>
  </w:style>
  <w:style w:type="character" w:customStyle="1" w:styleId="eop">
    <w:name w:val="eop"/>
    <w:basedOn w:val="DefaultParagraphFont"/>
    <w:rsid w:val="000260B9"/>
  </w:style>
  <w:style w:type="table" w:styleId="TableGrid">
    <w:name w:val="Table Grid"/>
    <w:basedOn w:val="TableNormal"/>
    <w:uiPriority w:val="39"/>
    <w:rsid w:val="0002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60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60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B9"/>
  </w:style>
  <w:style w:type="character" w:styleId="Hyperlink">
    <w:name w:val="Hyperlink"/>
    <w:basedOn w:val="DefaultParagraphFont"/>
    <w:uiPriority w:val="99"/>
    <w:unhideWhenUsed/>
    <w:rsid w:val="000260B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9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am12.safelinks.protection.outlook.com/?url=https%3A%2F%2Furldefense.com%2Fv3%2F__https%3A%2F%2Fachieveit.wistia.com%2Fmedias%2Fnc0yae9fro__%3B!!NHLzug!JX2s1cl6dqT4TDngUyFgSTYMi6Cpg-0zaHsvIwI4IkE7Uzw6l5SCXJelr8ecO3E3WvxV5dz9FrDcfoS-_2xKIlATs-nnFMk%24&amp;data=05%7C01%7Ckmaietta%40medschool.pitt.edu%7C56a9650455204771cdf808da8080fe5d%7C9ef9f489e0a04eeb87cc3a526112fd0d%7C1%7C0%7C637963588760289777%7CUnknown%7CTWFpbGZsb3d8eyJWIjoiMC4wLjAwMDAiLCJQIjoiV2luMzIiLCJBTiI6Ik1haWwiLCJXVCI6Mn0%3D%7C3000%7C%7C%7C&amp;sdata=tFvsE5TMM7hpFWDZHquT9FBLb6rp1cZk1kkJtstLwEI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E97ED5849234F9142D8D9738992F0" ma:contentTypeVersion="13" ma:contentTypeDescription="Create a new document." ma:contentTypeScope="" ma:versionID="c75c10891119ef2f245eea7fcdd28fee">
  <xsd:schema xmlns:xsd="http://www.w3.org/2001/XMLSchema" xmlns:xs="http://www.w3.org/2001/XMLSchema" xmlns:p="http://schemas.microsoft.com/office/2006/metadata/properties" xmlns:ns3="b6dd0e41-cd9f-4796-a75d-46a364efda39" xmlns:ns4="babdf126-efff-4742-944c-22eec856839d" targetNamespace="http://schemas.microsoft.com/office/2006/metadata/properties" ma:root="true" ma:fieldsID="04d7e5554445106cf977cec59af58391" ns3:_="" ns4:_="">
    <xsd:import namespace="b6dd0e41-cd9f-4796-a75d-46a364efda39"/>
    <xsd:import namespace="babdf126-efff-4742-944c-22eec85683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d0e41-cd9f-4796-a75d-46a364efda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df126-efff-4742-944c-22eec8568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BE9DB-593B-4B16-B662-68BD2F78118A}">
  <ds:schemaRefs>
    <ds:schemaRef ds:uri="http://www.w3.org/XML/1998/namespace"/>
    <ds:schemaRef ds:uri="http://purl.org/dc/terms/"/>
    <ds:schemaRef ds:uri="http://schemas.microsoft.com/office/2006/documentManagement/types"/>
    <ds:schemaRef ds:uri="b6dd0e41-cd9f-4796-a75d-46a364efda39"/>
    <ds:schemaRef ds:uri="http://schemas.openxmlformats.org/package/2006/metadata/core-properties"/>
    <ds:schemaRef ds:uri="babdf126-efff-4742-944c-22eec856839d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2A2972-B6C0-4955-A4BC-F75958208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B2C7F-6AD0-4019-B95E-C0AB54968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d0e41-cd9f-4796-a75d-46a364efda39"/>
    <ds:schemaRef ds:uri="babdf126-efff-4742-944c-22eec8568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 Gregory</dc:creator>
  <cp:keywords/>
  <dc:description/>
  <cp:lastModifiedBy>Null, Gregory</cp:lastModifiedBy>
  <cp:revision>2</cp:revision>
  <dcterms:created xsi:type="dcterms:W3CDTF">2022-10-10T12:03:00Z</dcterms:created>
  <dcterms:modified xsi:type="dcterms:W3CDTF">2022-10-10T15:46:00Z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0x010100E38E97ED5849234F9142D8D9738992F0</vt:lpwstr>
  </property>
</Properties>
</file>